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A64E4" w14:textId="77777777" w:rsidR="00203670" w:rsidRDefault="00203670">
      <w:pPr>
        <w:rPr>
          <w:rFonts w:ascii="黑体" w:eastAsia="黑体" w:hAnsi="黑体" w:cs="黑体" w:hint="eastAsia"/>
          <w:b/>
          <w:bCs/>
          <w:sz w:val="32"/>
          <w:szCs w:val="32"/>
        </w:rPr>
      </w:pPr>
    </w:p>
    <w:p w14:paraId="714D78A9" w14:textId="77777777" w:rsidR="00203670" w:rsidRDefault="00203670">
      <w:pPr>
        <w:spacing w:line="288" w:lineRule="auto"/>
        <w:outlineLvl w:val="0"/>
        <w:rPr>
          <w:rFonts w:ascii="Times New Roman" w:eastAsia="黑体" w:hAnsi="Times New Roman" w:cs="Times New Roman"/>
          <w:b/>
          <w:bCs/>
          <w:kern w:val="44"/>
          <w:sz w:val="32"/>
          <w:szCs w:val="44"/>
        </w:rPr>
      </w:pPr>
      <w:bookmarkStart w:id="0" w:name="_Toc596"/>
      <w:bookmarkStart w:id="1" w:name="_Toc28362"/>
      <w:bookmarkStart w:id="2" w:name="_Toc439"/>
      <w:bookmarkStart w:id="3" w:name="_Toc18471"/>
      <w:bookmarkStart w:id="4" w:name="_Toc3987"/>
      <w:bookmarkStart w:id="5" w:name="_Toc17543"/>
    </w:p>
    <w:p w14:paraId="441AD2B9" w14:textId="77777777" w:rsidR="00203670" w:rsidRDefault="00203670">
      <w:pPr>
        <w:spacing w:line="288" w:lineRule="auto"/>
        <w:outlineLvl w:val="0"/>
        <w:rPr>
          <w:rFonts w:ascii="Times New Roman" w:eastAsia="黑体" w:hAnsi="Times New Roman" w:cs="Times New Roman"/>
          <w:b/>
          <w:bCs/>
          <w:kern w:val="44"/>
          <w:sz w:val="32"/>
          <w:szCs w:val="44"/>
        </w:rPr>
      </w:pPr>
    </w:p>
    <w:p w14:paraId="5412C944" w14:textId="77777777" w:rsidR="00203670" w:rsidRDefault="00203670">
      <w:pPr>
        <w:spacing w:line="288" w:lineRule="auto"/>
        <w:outlineLvl w:val="0"/>
        <w:rPr>
          <w:rFonts w:ascii="Times New Roman" w:eastAsia="黑体" w:hAnsi="Times New Roman" w:cs="Times New Roman"/>
          <w:b/>
          <w:bCs/>
          <w:kern w:val="44"/>
          <w:sz w:val="32"/>
          <w:szCs w:val="44"/>
        </w:rPr>
      </w:pPr>
    </w:p>
    <w:bookmarkEnd w:id="0"/>
    <w:bookmarkEnd w:id="1"/>
    <w:bookmarkEnd w:id="2"/>
    <w:bookmarkEnd w:id="3"/>
    <w:bookmarkEnd w:id="4"/>
    <w:bookmarkEnd w:id="5"/>
    <w:p w14:paraId="6FC0092C" w14:textId="77777777" w:rsidR="00203670" w:rsidRPr="00BC7D67" w:rsidRDefault="003E3946">
      <w:pPr>
        <w:spacing w:line="288" w:lineRule="auto"/>
        <w:jc w:val="center"/>
        <w:outlineLvl w:val="0"/>
        <w:rPr>
          <w:rFonts w:ascii="新宋体" w:eastAsia="新宋体" w:hAnsi="新宋体" w:cs="黑体" w:hint="eastAsia"/>
          <w:b/>
          <w:sz w:val="44"/>
          <w:szCs w:val="44"/>
        </w:rPr>
      </w:pPr>
      <w:r w:rsidRPr="00BC7D67">
        <w:rPr>
          <w:rFonts w:ascii="新宋体" w:eastAsia="新宋体" w:hAnsi="新宋体" w:cs="黑体" w:hint="eastAsia"/>
          <w:b/>
          <w:sz w:val="44"/>
          <w:szCs w:val="44"/>
        </w:rPr>
        <w:t>回应性监管的引入与制度变革</w:t>
      </w:r>
    </w:p>
    <w:p w14:paraId="352CC429" w14:textId="77777777" w:rsidR="00203670" w:rsidRPr="00BC7D67" w:rsidRDefault="003E3946">
      <w:pPr>
        <w:spacing w:line="288" w:lineRule="auto"/>
        <w:jc w:val="center"/>
        <w:outlineLvl w:val="0"/>
        <w:rPr>
          <w:rFonts w:ascii="新宋体" w:eastAsia="新宋体" w:hAnsi="新宋体" w:cs="Times New Roman" w:hint="eastAsia"/>
          <w:b/>
          <w:kern w:val="44"/>
          <w:sz w:val="44"/>
          <w:szCs w:val="44"/>
        </w:rPr>
      </w:pPr>
      <w:r w:rsidRPr="00BC7D67">
        <w:rPr>
          <w:rFonts w:ascii="新宋体" w:eastAsia="新宋体" w:hAnsi="新宋体" w:cs="黑体" w:hint="eastAsia"/>
          <w:b/>
          <w:sz w:val="44"/>
          <w:szCs w:val="44"/>
        </w:rPr>
        <w:t>——基于涉会计师事务所监管处罚的分析</w:t>
      </w:r>
    </w:p>
    <w:p w14:paraId="116E3762" w14:textId="77777777" w:rsidR="00203670" w:rsidRDefault="00203670">
      <w:pPr>
        <w:spacing w:line="288" w:lineRule="auto"/>
        <w:outlineLvl w:val="0"/>
        <w:rPr>
          <w:rFonts w:ascii="Times New Roman" w:eastAsia="黑体" w:hAnsi="Times New Roman" w:cs="Times New Roman"/>
          <w:b/>
          <w:bCs/>
          <w:kern w:val="44"/>
          <w:sz w:val="32"/>
          <w:szCs w:val="44"/>
        </w:rPr>
      </w:pPr>
    </w:p>
    <w:p w14:paraId="4C4F5FF3" w14:textId="77777777" w:rsidR="00203670" w:rsidRDefault="00203670">
      <w:pPr>
        <w:spacing w:line="288" w:lineRule="auto"/>
        <w:outlineLvl w:val="0"/>
        <w:rPr>
          <w:rFonts w:ascii="Times New Roman" w:eastAsia="黑体" w:hAnsi="Times New Roman" w:cs="Times New Roman"/>
          <w:b/>
          <w:bCs/>
          <w:kern w:val="44"/>
          <w:sz w:val="32"/>
          <w:szCs w:val="44"/>
        </w:rPr>
      </w:pPr>
    </w:p>
    <w:p w14:paraId="1C20D3B5" w14:textId="77777777" w:rsidR="00203670" w:rsidRDefault="00203670">
      <w:pPr>
        <w:spacing w:line="288" w:lineRule="auto"/>
        <w:outlineLvl w:val="0"/>
        <w:rPr>
          <w:rFonts w:ascii="Times New Roman" w:eastAsia="黑体" w:hAnsi="Times New Roman" w:cs="Times New Roman"/>
          <w:b/>
          <w:bCs/>
          <w:kern w:val="44"/>
          <w:sz w:val="32"/>
          <w:szCs w:val="44"/>
        </w:rPr>
      </w:pPr>
    </w:p>
    <w:p w14:paraId="326685D8" w14:textId="77777777" w:rsidR="00203670" w:rsidRDefault="00203670">
      <w:pPr>
        <w:spacing w:line="288" w:lineRule="auto"/>
        <w:outlineLvl w:val="0"/>
        <w:rPr>
          <w:rFonts w:ascii="Times New Roman" w:eastAsia="黑体" w:hAnsi="Times New Roman" w:cs="Times New Roman"/>
          <w:b/>
          <w:bCs/>
          <w:kern w:val="44"/>
          <w:sz w:val="32"/>
          <w:szCs w:val="44"/>
        </w:rPr>
      </w:pPr>
    </w:p>
    <w:p w14:paraId="22298710" w14:textId="77777777" w:rsidR="00203670" w:rsidRDefault="00203670">
      <w:pPr>
        <w:spacing w:line="288" w:lineRule="auto"/>
        <w:outlineLvl w:val="0"/>
        <w:rPr>
          <w:rFonts w:ascii="Times New Roman" w:eastAsia="黑体" w:hAnsi="Times New Roman" w:cs="Times New Roman"/>
          <w:b/>
          <w:bCs/>
          <w:kern w:val="44"/>
          <w:sz w:val="32"/>
          <w:szCs w:val="44"/>
        </w:rPr>
      </w:pPr>
    </w:p>
    <w:p w14:paraId="2E2F3141" w14:textId="77777777" w:rsidR="00203670" w:rsidRDefault="00203670">
      <w:pPr>
        <w:spacing w:line="288" w:lineRule="auto"/>
        <w:outlineLvl w:val="0"/>
        <w:rPr>
          <w:rFonts w:ascii="Times New Roman" w:eastAsia="黑体" w:hAnsi="Times New Roman" w:cs="Times New Roman"/>
          <w:b/>
          <w:bCs/>
          <w:kern w:val="44"/>
          <w:sz w:val="32"/>
          <w:szCs w:val="44"/>
        </w:rPr>
      </w:pPr>
    </w:p>
    <w:p w14:paraId="6381462E" w14:textId="77777777" w:rsidR="00203670" w:rsidRDefault="00203670">
      <w:pPr>
        <w:spacing w:line="288" w:lineRule="auto"/>
        <w:outlineLvl w:val="0"/>
        <w:rPr>
          <w:rFonts w:ascii="Times New Roman" w:eastAsia="黑体" w:hAnsi="Times New Roman" w:cs="Times New Roman"/>
          <w:b/>
          <w:bCs/>
          <w:kern w:val="44"/>
          <w:sz w:val="32"/>
          <w:szCs w:val="44"/>
        </w:rPr>
      </w:pPr>
    </w:p>
    <w:p w14:paraId="716E3C0F" w14:textId="77777777" w:rsidR="00203670" w:rsidRDefault="00203670">
      <w:pPr>
        <w:spacing w:line="288" w:lineRule="auto"/>
        <w:outlineLvl w:val="0"/>
        <w:rPr>
          <w:rFonts w:ascii="Times New Roman" w:eastAsia="黑体" w:hAnsi="Times New Roman" w:cs="Times New Roman"/>
          <w:b/>
          <w:bCs/>
          <w:kern w:val="44"/>
          <w:sz w:val="32"/>
          <w:szCs w:val="44"/>
        </w:rPr>
      </w:pPr>
    </w:p>
    <w:p w14:paraId="2D02F420" w14:textId="77777777" w:rsidR="00203670" w:rsidRDefault="00203670">
      <w:pPr>
        <w:spacing w:line="288" w:lineRule="auto"/>
        <w:outlineLvl w:val="0"/>
        <w:rPr>
          <w:rFonts w:ascii="Times New Roman" w:eastAsia="黑体" w:hAnsi="Times New Roman" w:cs="Times New Roman"/>
          <w:b/>
          <w:bCs/>
          <w:kern w:val="44"/>
          <w:sz w:val="32"/>
          <w:szCs w:val="44"/>
        </w:rPr>
      </w:pPr>
    </w:p>
    <w:p w14:paraId="655C4005" w14:textId="77777777" w:rsidR="00203670" w:rsidRDefault="00203670">
      <w:pPr>
        <w:spacing w:line="288" w:lineRule="auto"/>
        <w:outlineLvl w:val="0"/>
        <w:rPr>
          <w:rFonts w:ascii="Times New Roman" w:eastAsia="黑体" w:hAnsi="Times New Roman" w:cs="Times New Roman"/>
          <w:b/>
          <w:bCs/>
          <w:kern w:val="44"/>
          <w:sz w:val="32"/>
          <w:szCs w:val="44"/>
        </w:rPr>
      </w:pPr>
    </w:p>
    <w:p w14:paraId="1F10FC33" w14:textId="77777777" w:rsidR="00203670" w:rsidRDefault="00203670">
      <w:pPr>
        <w:spacing w:line="288" w:lineRule="auto"/>
        <w:outlineLvl w:val="0"/>
        <w:rPr>
          <w:rFonts w:ascii="Times New Roman" w:eastAsia="黑体" w:hAnsi="Times New Roman" w:cs="Times New Roman"/>
          <w:b/>
          <w:bCs/>
          <w:kern w:val="44"/>
          <w:sz w:val="32"/>
          <w:szCs w:val="44"/>
        </w:rPr>
      </w:pPr>
    </w:p>
    <w:p w14:paraId="3C52211B" w14:textId="77777777" w:rsidR="00771054" w:rsidRDefault="00771054">
      <w:pPr>
        <w:spacing w:line="288" w:lineRule="auto"/>
        <w:outlineLvl w:val="0"/>
        <w:rPr>
          <w:rFonts w:ascii="Times New Roman" w:eastAsia="黑体" w:hAnsi="Times New Roman" w:cs="Times New Roman"/>
          <w:b/>
          <w:bCs/>
          <w:kern w:val="44"/>
          <w:sz w:val="32"/>
          <w:szCs w:val="44"/>
        </w:rPr>
      </w:pPr>
    </w:p>
    <w:p w14:paraId="69A7F815" w14:textId="77777777" w:rsidR="00203670" w:rsidRDefault="003E3946">
      <w:pPr>
        <w:spacing w:line="288" w:lineRule="auto"/>
        <w:jc w:val="center"/>
        <w:outlineLvl w:val="0"/>
        <w:rPr>
          <w:rFonts w:ascii="宋体" w:eastAsia="宋体" w:hAnsi="宋体" w:cs="Times New Roman" w:hint="eastAsia"/>
          <w:bCs/>
          <w:kern w:val="44"/>
          <w:sz w:val="32"/>
          <w:szCs w:val="44"/>
        </w:rPr>
      </w:pPr>
      <w:bookmarkStart w:id="6" w:name="_Toc184116217"/>
      <w:bookmarkStart w:id="7" w:name="OLE_LINK1"/>
      <w:r>
        <w:rPr>
          <w:rFonts w:ascii="宋体" w:eastAsia="宋体" w:hAnsi="宋体" w:cs="Times New Roman" w:hint="eastAsia"/>
          <w:bCs/>
          <w:kern w:val="44"/>
          <w:sz w:val="32"/>
          <w:szCs w:val="44"/>
        </w:rPr>
        <w:t>北京</w:t>
      </w:r>
      <w:r>
        <w:rPr>
          <w:rFonts w:ascii="宋体" w:eastAsia="宋体" w:hAnsi="宋体" w:cs="Times New Roman"/>
          <w:bCs/>
          <w:kern w:val="44"/>
          <w:sz w:val="32"/>
          <w:szCs w:val="44"/>
        </w:rPr>
        <w:t>注册会计师协会维权委员会</w:t>
      </w:r>
      <w:bookmarkEnd w:id="6"/>
    </w:p>
    <w:bookmarkEnd w:id="7"/>
    <w:p w14:paraId="6BE52960" w14:textId="77777777" w:rsidR="00203670" w:rsidRDefault="00203670">
      <w:pPr>
        <w:spacing w:line="288" w:lineRule="auto"/>
        <w:jc w:val="center"/>
        <w:outlineLvl w:val="0"/>
        <w:rPr>
          <w:rFonts w:ascii="宋体" w:eastAsia="宋体" w:hAnsi="宋体" w:cs="Times New Roman" w:hint="eastAsia"/>
          <w:bCs/>
          <w:kern w:val="44"/>
          <w:sz w:val="32"/>
          <w:szCs w:val="44"/>
        </w:rPr>
      </w:pPr>
    </w:p>
    <w:p w14:paraId="5171295B" w14:textId="77777777" w:rsidR="00203670" w:rsidRDefault="003E3946">
      <w:pPr>
        <w:spacing w:line="288" w:lineRule="auto"/>
        <w:jc w:val="center"/>
        <w:outlineLvl w:val="0"/>
        <w:rPr>
          <w:rFonts w:ascii="宋体" w:eastAsia="宋体" w:hAnsi="宋体" w:cs="Times New Roman" w:hint="eastAsia"/>
          <w:bCs/>
          <w:kern w:val="44"/>
          <w:sz w:val="32"/>
          <w:szCs w:val="44"/>
        </w:rPr>
      </w:pPr>
      <w:bookmarkStart w:id="8" w:name="_Toc184116218"/>
      <w:r>
        <w:rPr>
          <w:rFonts w:ascii="宋体" w:eastAsia="宋体" w:hAnsi="宋体" w:cs="Times New Roman"/>
          <w:bCs/>
          <w:kern w:val="44"/>
          <w:sz w:val="32"/>
          <w:szCs w:val="44"/>
        </w:rPr>
        <w:t>2025</w:t>
      </w:r>
      <w:r>
        <w:rPr>
          <w:rFonts w:ascii="宋体" w:eastAsia="宋体" w:hAnsi="宋体" w:cs="Times New Roman" w:hint="eastAsia"/>
          <w:bCs/>
          <w:kern w:val="44"/>
          <w:sz w:val="32"/>
          <w:szCs w:val="44"/>
        </w:rPr>
        <w:t>年11月</w:t>
      </w:r>
      <w:bookmarkEnd w:id="8"/>
    </w:p>
    <w:p w14:paraId="7D4C6E08" w14:textId="77777777" w:rsidR="00203670" w:rsidRDefault="00203670">
      <w:pPr>
        <w:spacing w:line="288" w:lineRule="auto"/>
        <w:outlineLvl w:val="0"/>
        <w:rPr>
          <w:rFonts w:ascii="Times New Roman" w:eastAsia="黑体" w:hAnsi="Times New Roman" w:cs="Times New Roman"/>
          <w:b/>
          <w:bCs/>
          <w:kern w:val="44"/>
          <w:sz w:val="32"/>
          <w:szCs w:val="44"/>
        </w:rPr>
      </w:pPr>
    </w:p>
    <w:p w14:paraId="78263146" w14:textId="77777777" w:rsidR="00203670" w:rsidRDefault="00203670">
      <w:pPr>
        <w:spacing w:line="288" w:lineRule="auto"/>
        <w:outlineLvl w:val="0"/>
        <w:rPr>
          <w:rFonts w:ascii="Times New Roman" w:eastAsia="黑体" w:hAnsi="Times New Roman" w:cs="Times New Roman"/>
          <w:b/>
          <w:bCs/>
          <w:kern w:val="44"/>
          <w:sz w:val="32"/>
          <w:szCs w:val="44"/>
        </w:rPr>
      </w:pPr>
    </w:p>
    <w:p w14:paraId="6C3D3ABF" w14:textId="77777777" w:rsidR="00203670" w:rsidRDefault="00203670">
      <w:pPr>
        <w:spacing w:line="288" w:lineRule="auto"/>
        <w:outlineLvl w:val="0"/>
        <w:rPr>
          <w:rFonts w:ascii="Times New Roman" w:eastAsia="黑体" w:hAnsi="Times New Roman" w:cs="Times New Roman"/>
          <w:b/>
          <w:bCs/>
          <w:kern w:val="44"/>
          <w:sz w:val="32"/>
          <w:szCs w:val="44"/>
        </w:rPr>
      </w:pPr>
    </w:p>
    <w:p w14:paraId="04039605" w14:textId="77777777" w:rsidR="00203670" w:rsidRDefault="00203670">
      <w:pPr>
        <w:spacing w:line="288" w:lineRule="auto"/>
        <w:outlineLvl w:val="0"/>
        <w:rPr>
          <w:rFonts w:ascii="Times New Roman" w:eastAsia="黑体" w:hAnsi="Times New Roman" w:cs="Times New Roman"/>
          <w:b/>
          <w:bCs/>
          <w:kern w:val="44"/>
          <w:sz w:val="32"/>
          <w:szCs w:val="44"/>
        </w:rPr>
      </w:pPr>
    </w:p>
    <w:p w14:paraId="189EEF32" w14:textId="77777777" w:rsidR="00203670" w:rsidRDefault="00203670">
      <w:pPr>
        <w:spacing w:line="288" w:lineRule="auto"/>
        <w:outlineLvl w:val="0"/>
        <w:rPr>
          <w:rFonts w:ascii="Times New Roman" w:eastAsia="黑体" w:hAnsi="Times New Roman" w:cs="Times New Roman"/>
          <w:b/>
          <w:bCs/>
          <w:kern w:val="44"/>
          <w:sz w:val="32"/>
          <w:szCs w:val="44"/>
        </w:rPr>
      </w:pPr>
    </w:p>
    <w:p w14:paraId="244B1F8B" w14:textId="77777777" w:rsidR="00203670" w:rsidRDefault="00203670">
      <w:pPr>
        <w:spacing w:line="288" w:lineRule="auto"/>
        <w:outlineLvl w:val="0"/>
        <w:rPr>
          <w:sz w:val="24"/>
          <w:szCs w:val="32"/>
        </w:rPr>
      </w:pPr>
    </w:p>
    <w:p w14:paraId="7105CAD2" w14:textId="77777777" w:rsidR="00203670" w:rsidRDefault="00203670">
      <w:pPr>
        <w:spacing w:line="288" w:lineRule="auto"/>
        <w:outlineLvl w:val="0"/>
        <w:rPr>
          <w:sz w:val="24"/>
          <w:szCs w:val="32"/>
        </w:rPr>
      </w:pPr>
    </w:p>
    <w:p w14:paraId="0642C464" w14:textId="77777777" w:rsidR="00203670" w:rsidRDefault="00203670">
      <w:pPr>
        <w:spacing w:line="288" w:lineRule="auto"/>
        <w:outlineLvl w:val="0"/>
        <w:rPr>
          <w:sz w:val="24"/>
          <w:szCs w:val="32"/>
        </w:rPr>
      </w:pPr>
    </w:p>
    <w:p w14:paraId="4A74EB99" w14:textId="77777777" w:rsidR="00203670" w:rsidRDefault="00203670">
      <w:pPr>
        <w:spacing w:line="288" w:lineRule="auto"/>
        <w:outlineLvl w:val="0"/>
        <w:rPr>
          <w:sz w:val="24"/>
          <w:szCs w:val="32"/>
        </w:rPr>
      </w:pPr>
    </w:p>
    <w:p w14:paraId="027F1A10" w14:textId="77777777" w:rsidR="00203670" w:rsidRDefault="00203670">
      <w:pPr>
        <w:spacing w:line="288" w:lineRule="auto"/>
        <w:outlineLvl w:val="0"/>
        <w:rPr>
          <w:sz w:val="24"/>
          <w:szCs w:val="32"/>
        </w:rPr>
      </w:pPr>
    </w:p>
    <w:p w14:paraId="6117843E" w14:textId="77777777" w:rsidR="00203670" w:rsidRDefault="00203670">
      <w:pPr>
        <w:spacing w:line="288" w:lineRule="auto"/>
        <w:outlineLvl w:val="0"/>
        <w:rPr>
          <w:sz w:val="24"/>
          <w:szCs w:val="32"/>
        </w:rPr>
      </w:pPr>
    </w:p>
    <w:p w14:paraId="5E3933B6" w14:textId="77777777" w:rsidR="00203670" w:rsidRDefault="00203670">
      <w:pPr>
        <w:spacing w:line="288" w:lineRule="auto"/>
        <w:outlineLvl w:val="0"/>
        <w:rPr>
          <w:sz w:val="24"/>
          <w:szCs w:val="32"/>
        </w:rPr>
      </w:pPr>
    </w:p>
    <w:p w14:paraId="5381C141" w14:textId="77777777" w:rsidR="00203670" w:rsidRDefault="00203670">
      <w:pPr>
        <w:spacing w:line="288" w:lineRule="auto"/>
        <w:outlineLvl w:val="0"/>
        <w:rPr>
          <w:sz w:val="24"/>
          <w:szCs w:val="32"/>
        </w:rPr>
      </w:pPr>
    </w:p>
    <w:p w14:paraId="33DFC949" w14:textId="77777777" w:rsidR="00203670" w:rsidRDefault="00203670">
      <w:pPr>
        <w:spacing w:line="288" w:lineRule="auto"/>
        <w:outlineLvl w:val="0"/>
        <w:rPr>
          <w:sz w:val="24"/>
          <w:szCs w:val="32"/>
        </w:rPr>
      </w:pPr>
    </w:p>
    <w:p w14:paraId="2B39B3DD" w14:textId="77777777" w:rsidR="00203670" w:rsidRDefault="00203670">
      <w:pPr>
        <w:spacing w:line="288" w:lineRule="auto"/>
        <w:outlineLvl w:val="0"/>
        <w:rPr>
          <w:sz w:val="24"/>
          <w:szCs w:val="32"/>
        </w:rPr>
      </w:pPr>
    </w:p>
    <w:p w14:paraId="5FB5DD8E" w14:textId="77777777" w:rsidR="00203670" w:rsidRDefault="00203670">
      <w:pPr>
        <w:spacing w:line="288" w:lineRule="auto"/>
        <w:outlineLvl w:val="0"/>
        <w:rPr>
          <w:sz w:val="24"/>
          <w:szCs w:val="32"/>
        </w:rPr>
      </w:pPr>
    </w:p>
    <w:p w14:paraId="5F017A3C" w14:textId="77777777" w:rsidR="00203670" w:rsidRDefault="00203670">
      <w:pPr>
        <w:spacing w:line="288" w:lineRule="auto"/>
        <w:outlineLvl w:val="0"/>
        <w:rPr>
          <w:sz w:val="24"/>
          <w:szCs w:val="32"/>
        </w:rPr>
      </w:pPr>
    </w:p>
    <w:p w14:paraId="56BB2DFB" w14:textId="77777777" w:rsidR="00203670" w:rsidRDefault="00203670">
      <w:pPr>
        <w:spacing w:line="288" w:lineRule="auto"/>
        <w:outlineLvl w:val="0"/>
        <w:rPr>
          <w:sz w:val="24"/>
          <w:szCs w:val="32"/>
        </w:rPr>
      </w:pPr>
    </w:p>
    <w:p w14:paraId="65DFDC62" w14:textId="77777777" w:rsidR="00203670" w:rsidRDefault="00203670">
      <w:pPr>
        <w:spacing w:line="288" w:lineRule="auto"/>
        <w:outlineLvl w:val="0"/>
        <w:rPr>
          <w:sz w:val="24"/>
          <w:szCs w:val="32"/>
        </w:rPr>
      </w:pPr>
    </w:p>
    <w:p w14:paraId="2A18AEB6" w14:textId="77777777" w:rsidR="00BC7D67" w:rsidRDefault="00BC7D67">
      <w:pPr>
        <w:spacing w:line="288" w:lineRule="auto"/>
        <w:outlineLvl w:val="0"/>
        <w:rPr>
          <w:sz w:val="24"/>
          <w:szCs w:val="32"/>
        </w:rPr>
      </w:pPr>
    </w:p>
    <w:p w14:paraId="4CD53504" w14:textId="77777777" w:rsidR="00BC7D67" w:rsidRDefault="00BC7D67">
      <w:pPr>
        <w:spacing w:line="288" w:lineRule="auto"/>
        <w:outlineLvl w:val="0"/>
        <w:rPr>
          <w:sz w:val="24"/>
          <w:szCs w:val="32"/>
        </w:rPr>
      </w:pPr>
    </w:p>
    <w:p w14:paraId="58169283" w14:textId="1D36088F" w:rsidR="00203670" w:rsidRDefault="003E3946" w:rsidP="00BC7D67">
      <w:pPr>
        <w:spacing w:line="560" w:lineRule="exact"/>
        <w:outlineLvl w:val="0"/>
        <w:rPr>
          <w:rFonts w:ascii="仿宋" w:eastAsia="仿宋" w:hAnsi="仿宋" w:hint="eastAsia"/>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00BC7D67">
        <w:rPr>
          <w:rFonts w:ascii="仿宋" w:eastAsia="仿宋" w:hAnsi="仿宋" w:hint="eastAsia"/>
          <w:sz w:val="32"/>
          <w:szCs w:val="32"/>
        </w:rPr>
        <w:t xml:space="preserve">     </w:t>
      </w:r>
      <w:r>
        <w:rPr>
          <w:rFonts w:ascii="仿宋" w:eastAsia="仿宋" w:hAnsi="仿宋" w:hint="eastAsia"/>
          <w:b/>
          <w:sz w:val="32"/>
          <w:szCs w:val="32"/>
        </w:rPr>
        <w:t>审核</w:t>
      </w:r>
      <w:r>
        <w:rPr>
          <w:rFonts w:ascii="仿宋" w:eastAsia="仿宋" w:hAnsi="仿宋"/>
          <w:b/>
          <w:sz w:val="32"/>
          <w:szCs w:val="32"/>
        </w:rPr>
        <w:t>人</w:t>
      </w:r>
      <w:r>
        <w:rPr>
          <w:rFonts w:ascii="仿宋" w:eastAsia="仿宋" w:hAnsi="仿宋"/>
          <w:sz w:val="32"/>
          <w:szCs w:val="32"/>
        </w:rPr>
        <w:t>：陈力翃</w:t>
      </w:r>
      <w:r>
        <w:rPr>
          <w:rFonts w:ascii="仿宋" w:eastAsia="仿宋" w:hAnsi="仿宋" w:hint="eastAsia"/>
          <w:sz w:val="32"/>
          <w:szCs w:val="32"/>
        </w:rPr>
        <w:t xml:space="preserve">  张</w:t>
      </w:r>
      <w:r>
        <w:rPr>
          <w:rFonts w:ascii="仿宋" w:eastAsia="仿宋" w:hAnsi="仿宋"/>
          <w:sz w:val="32"/>
          <w:szCs w:val="32"/>
        </w:rPr>
        <w:t>小东</w:t>
      </w:r>
    </w:p>
    <w:p w14:paraId="0B32AD2D" w14:textId="3CF317A9" w:rsidR="00203670" w:rsidRPr="00BC7D67" w:rsidRDefault="003E3946" w:rsidP="00BC7D67">
      <w:pPr>
        <w:spacing w:line="560" w:lineRule="exact"/>
        <w:outlineLvl w:val="0"/>
        <w:rPr>
          <w:sz w:val="24"/>
          <w:szCs w:val="32"/>
        </w:rPr>
      </w:pPr>
      <w:r>
        <w:rPr>
          <w:rFonts w:hint="eastAsia"/>
          <w:sz w:val="24"/>
          <w:szCs w:val="32"/>
        </w:rPr>
        <w:t xml:space="preserve">                    </w:t>
      </w:r>
      <w:r w:rsidR="00BC7D67">
        <w:rPr>
          <w:rFonts w:hint="eastAsia"/>
          <w:sz w:val="24"/>
          <w:szCs w:val="32"/>
        </w:rPr>
        <w:t xml:space="preserve">       </w:t>
      </w:r>
      <w:r>
        <w:rPr>
          <w:rFonts w:ascii="仿宋" w:eastAsia="仿宋" w:hAnsi="仿宋" w:cs="楷体" w:hint="eastAsia"/>
          <w:b/>
          <w:sz w:val="32"/>
          <w:szCs w:val="32"/>
        </w:rPr>
        <w:t>主持人：</w:t>
      </w:r>
      <w:r w:rsidRPr="00BC7D67">
        <w:rPr>
          <w:rFonts w:ascii="仿宋" w:eastAsia="仿宋" w:hAnsi="仿宋" w:cs="楷体" w:hint="eastAsia"/>
          <w:sz w:val="32"/>
          <w:szCs w:val="32"/>
        </w:rPr>
        <w:t>陈敏光</w:t>
      </w:r>
      <w:bookmarkStart w:id="9" w:name="_Toc184116219"/>
    </w:p>
    <w:p w14:paraId="1E53F1FF" w14:textId="61AF3790" w:rsidR="00203670" w:rsidRPr="00BC7D67" w:rsidRDefault="003E3946" w:rsidP="00BC7D67">
      <w:pPr>
        <w:spacing w:line="560" w:lineRule="exact"/>
        <w:ind w:firstLineChars="700" w:firstLine="2249"/>
        <w:outlineLvl w:val="0"/>
        <w:rPr>
          <w:rFonts w:ascii="仿宋" w:eastAsia="仿宋" w:hAnsi="仿宋" w:cs="宋体" w:hint="eastAsia"/>
          <w:kern w:val="0"/>
          <w:sz w:val="32"/>
          <w:szCs w:val="32"/>
        </w:rPr>
      </w:pPr>
      <w:r>
        <w:rPr>
          <w:rFonts w:ascii="仿宋" w:eastAsia="仿宋" w:hAnsi="仿宋" w:cs="楷体"/>
          <w:b/>
          <w:sz w:val="32"/>
          <w:szCs w:val="32"/>
        </w:rPr>
        <w:t xml:space="preserve"> </w:t>
      </w:r>
      <w:r w:rsidR="00BC7D67">
        <w:rPr>
          <w:rFonts w:ascii="仿宋" w:eastAsia="仿宋" w:hAnsi="仿宋" w:cs="楷体" w:hint="eastAsia"/>
          <w:b/>
          <w:sz w:val="32"/>
          <w:szCs w:val="32"/>
        </w:rPr>
        <w:t xml:space="preserve">     </w:t>
      </w:r>
      <w:r>
        <w:rPr>
          <w:rFonts w:ascii="仿宋" w:eastAsia="仿宋" w:hAnsi="仿宋" w:cs="楷体" w:hint="eastAsia"/>
          <w:b/>
          <w:sz w:val="32"/>
          <w:szCs w:val="32"/>
        </w:rPr>
        <w:t>执笔</w:t>
      </w:r>
      <w:r>
        <w:rPr>
          <w:rFonts w:ascii="仿宋" w:eastAsia="仿宋" w:hAnsi="仿宋" w:cs="楷体"/>
          <w:b/>
          <w:sz w:val="32"/>
          <w:szCs w:val="32"/>
        </w:rPr>
        <w:t>人</w:t>
      </w:r>
      <w:r>
        <w:rPr>
          <w:rFonts w:ascii="仿宋" w:eastAsia="仿宋" w:hAnsi="仿宋" w:cs="楷体"/>
          <w:sz w:val="32"/>
          <w:szCs w:val="32"/>
        </w:rPr>
        <w:t>：</w:t>
      </w:r>
      <w:r>
        <w:rPr>
          <w:rFonts w:ascii="仿宋" w:eastAsia="仿宋" w:hAnsi="仿宋" w:cs="楷体" w:hint="eastAsia"/>
          <w:sz w:val="32"/>
          <w:szCs w:val="32"/>
        </w:rPr>
        <w:t>陈敏光、汤译翔、马梓涵</w:t>
      </w:r>
      <w:bookmarkEnd w:id="9"/>
    </w:p>
    <w:p w14:paraId="15777C36" w14:textId="3AEAEDBD" w:rsidR="00203670" w:rsidRDefault="003E3946" w:rsidP="00BC7D67">
      <w:pPr>
        <w:spacing w:line="560" w:lineRule="exact"/>
        <w:outlineLvl w:val="0"/>
        <w:rPr>
          <w:rFonts w:ascii="仿宋" w:eastAsia="仿宋" w:hAnsi="仿宋" w:cs="宋体" w:hint="eastAsia"/>
          <w:kern w:val="0"/>
          <w:sz w:val="32"/>
          <w:szCs w:val="32"/>
        </w:rPr>
      </w:pPr>
      <w:r>
        <w:rPr>
          <w:rFonts w:ascii="宋体" w:eastAsia="宋体" w:hAnsi="宋体" w:cs="宋体" w:hint="eastAsia"/>
          <w:kern w:val="0"/>
          <w:sz w:val="28"/>
          <w:szCs w:val="28"/>
        </w:rPr>
        <w:t xml:space="preserve">                 </w:t>
      </w:r>
      <w:r w:rsidR="00BC7D67">
        <w:rPr>
          <w:rFonts w:ascii="宋体" w:eastAsia="宋体" w:hAnsi="宋体" w:cs="宋体" w:hint="eastAsia"/>
          <w:kern w:val="0"/>
          <w:sz w:val="28"/>
          <w:szCs w:val="28"/>
        </w:rPr>
        <w:t xml:space="preserve">      </w:t>
      </w:r>
      <w:r>
        <w:rPr>
          <w:rFonts w:ascii="仿宋" w:eastAsia="仿宋" w:hAnsi="仿宋" w:cs="宋体" w:hint="eastAsia"/>
          <w:b/>
          <w:kern w:val="0"/>
          <w:sz w:val="32"/>
          <w:szCs w:val="32"/>
        </w:rPr>
        <w:t>校对</w:t>
      </w:r>
      <w:r>
        <w:rPr>
          <w:rFonts w:ascii="仿宋" w:eastAsia="仿宋" w:hAnsi="仿宋" w:cs="宋体"/>
          <w:b/>
          <w:kern w:val="0"/>
          <w:sz w:val="32"/>
          <w:szCs w:val="32"/>
        </w:rPr>
        <w:t>人</w:t>
      </w:r>
      <w:r>
        <w:rPr>
          <w:rFonts w:ascii="仿宋" w:eastAsia="仿宋" w:hAnsi="仿宋" w:cs="宋体"/>
          <w:kern w:val="0"/>
          <w:sz w:val="32"/>
          <w:szCs w:val="32"/>
        </w:rPr>
        <w:t>：</w:t>
      </w:r>
      <w:r>
        <w:rPr>
          <w:rFonts w:ascii="仿宋" w:eastAsia="仿宋" w:hAnsi="仿宋" w:cs="宋体" w:hint="eastAsia"/>
          <w:kern w:val="0"/>
          <w:sz w:val="32"/>
          <w:szCs w:val="32"/>
        </w:rPr>
        <w:t>陈</w:t>
      </w:r>
      <w:r>
        <w:rPr>
          <w:rFonts w:ascii="仿宋" w:eastAsia="仿宋" w:hAnsi="仿宋" w:cs="宋体"/>
          <w:kern w:val="0"/>
          <w:sz w:val="32"/>
          <w:szCs w:val="32"/>
        </w:rPr>
        <w:t>敏光</w:t>
      </w:r>
    </w:p>
    <w:p w14:paraId="23E4DC6A" w14:textId="77777777" w:rsidR="00203670" w:rsidRDefault="00203670" w:rsidP="00BC7D67">
      <w:pPr>
        <w:spacing w:line="560" w:lineRule="exact"/>
        <w:outlineLvl w:val="0"/>
        <w:rPr>
          <w:rFonts w:ascii="宋体" w:eastAsia="宋体" w:hAnsi="宋体" w:cs="宋体" w:hint="eastAsia"/>
          <w:kern w:val="0"/>
          <w:sz w:val="28"/>
          <w:szCs w:val="28"/>
        </w:rPr>
      </w:pPr>
    </w:p>
    <w:p w14:paraId="1DE89C36" w14:textId="77777777" w:rsidR="00203670" w:rsidRDefault="00203670" w:rsidP="00BC7D67">
      <w:pPr>
        <w:spacing w:line="560" w:lineRule="exact"/>
        <w:outlineLvl w:val="0"/>
        <w:rPr>
          <w:rFonts w:ascii="宋体" w:eastAsia="宋体" w:hAnsi="宋体" w:cs="宋体" w:hint="eastAsia"/>
          <w:kern w:val="0"/>
          <w:sz w:val="28"/>
          <w:szCs w:val="28"/>
        </w:rPr>
      </w:pPr>
    </w:p>
    <w:p w14:paraId="7FBD84F3" w14:textId="77777777" w:rsidR="00203670" w:rsidRDefault="00203670">
      <w:pPr>
        <w:spacing w:line="400" w:lineRule="exact"/>
        <w:outlineLvl w:val="0"/>
        <w:rPr>
          <w:rFonts w:ascii="宋体" w:eastAsia="宋体" w:hAnsi="宋体" w:cs="宋体" w:hint="eastAsia"/>
          <w:kern w:val="0"/>
          <w:sz w:val="28"/>
          <w:szCs w:val="28"/>
        </w:rPr>
      </w:pPr>
    </w:p>
    <w:p w14:paraId="24A26D78" w14:textId="77777777" w:rsidR="00203670" w:rsidRDefault="00203670">
      <w:pPr>
        <w:spacing w:line="400" w:lineRule="exact"/>
        <w:outlineLvl w:val="0"/>
        <w:rPr>
          <w:rFonts w:ascii="宋体" w:eastAsia="宋体" w:hAnsi="宋体" w:cs="宋体" w:hint="eastAsia"/>
          <w:kern w:val="0"/>
          <w:sz w:val="28"/>
          <w:szCs w:val="28"/>
        </w:rPr>
      </w:pPr>
    </w:p>
    <w:p w14:paraId="064E4C92" w14:textId="77777777" w:rsidR="00203670" w:rsidRDefault="00203670">
      <w:pPr>
        <w:spacing w:line="400" w:lineRule="exact"/>
        <w:outlineLvl w:val="0"/>
        <w:rPr>
          <w:rFonts w:ascii="宋体" w:eastAsia="宋体" w:hAnsi="宋体" w:cs="宋体" w:hint="eastAsia"/>
          <w:kern w:val="0"/>
          <w:sz w:val="28"/>
          <w:szCs w:val="28"/>
        </w:rPr>
      </w:pPr>
    </w:p>
    <w:p w14:paraId="073BD4D2" w14:textId="77777777" w:rsidR="00BC7D67" w:rsidRDefault="00BC7D67">
      <w:pPr>
        <w:spacing w:line="400" w:lineRule="exact"/>
        <w:outlineLvl w:val="0"/>
        <w:rPr>
          <w:rFonts w:ascii="宋体" w:eastAsia="宋体" w:hAnsi="宋体" w:cs="宋体" w:hint="eastAsia"/>
          <w:kern w:val="0"/>
          <w:sz w:val="28"/>
          <w:szCs w:val="28"/>
        </w:rPr>
      </w:pPr>
    </w:p>
    <w:p w14:paraId="0C6F3E73" w14:textId="77777777" w:rsidR="00203670" w:rsidRPr="00041B72" w:rsidRDefault="003E3946">
      <w:pPr>
        <w:spacing w:line="400" w:lineRule="exact"/>
        <w:outlineLvl w:val="0"/>
        <w:rPr>
          <w:rFonts w:asciiTheme="minorEastAsia" w:hAnsiTheme="minorEastAsia" w:cstheme="minorEastAsia" w:hint="eastAsia"/>
          <w:kern w:val="0"/>
          <w:szCs w:val="21"/>
        </w:rPr>
      </w:pPr>
      <w:r w:rsidRPr="00041B72">
        <w:rPr>
          <w:rFonts w:asciiTheme="minorEastAsia" w:hAnsiTheme="minorEastAsia" w:cstheme="minorEastAsia" w:hint="eastAsia"/>
          <w:kern w:val="0"/>
          <w:szCs w:val="21"/>
        </w:rPr>
        <w:t>主持人简介：陈敏光，北京市社会科学院副研究员、经济法学博士。</w:t>
      </w:r>
    </w:p>
    <w:p w14:paraId="22BB801F" w14:textId="77777777" w:rsidR="00203670" w:rsidRDefault="00203670">
      <w:pPr>
        <w:spacing w:line="288" w:lineRule="auto"/>
        <w:ind w:firstLineChars="200" w:firstLine="480"/>
        <w:rPr>
          <w:rFonts w:ascii="黑体" w:eastAsia="黑体" w:hAnsi="黑体" w:cs="黑体" w:hint="eastAsia"/>
          <w:sz w:val="24"/>
        </w:rPr>
      </w:pPr>
    </w:p>
    <w:p w14:paraId="1B88E240" w14:textId="77777777" w:rsidR="00BC7D67" w:rsidRPr="00BC7D67" w:rsidRDefault="00BC7D67">
      <w:pPr>
        <w:spacing w:line="288" w:lineRule="auto"/>
        <w:ind w:firstLineChars="200" w:firstLine="480"/>
        <w:rPr>
          <w:rFonts w:ascii="黑体" w:eastAsia="黑体" w:hAnsi="黑体" w:cs="黑体" w:hint="eastAsia"/>
          <w:sz w:val="24"/>
        </w:rPr>
      </w:pPr>
    </w:p>
    <w:p w14:paraId="0E2EDD89" w14:textId="7932D762" w:rsidR="00203670" w:rsidRDefault="003E3946">
      <w:pPr>
        <w:spacing w:line="288" w:lineRule="auto"/>
        <w:ind w:firstLineChars="200" w:firstLine="643"/>
        <w:rPr>
          <w:rFonts w:ascii="仿宋" w:eastAsia="仿宋" w:hAnsi="仿宋" w:hint="eastAsia"/>
          <w:sz w:val="32"/>
          <w:szCs w:val="32"/>
        </w:rPr>
      </w:pPr>
      <w:r>
        <w:rPr>
          <w:rFonts w:ascii="仿宋" w:eastAsia="仿宋" w:hAnsi="仿宋" w:cs="黑体" w:hint="eastAsia"/>
          <w:b/>
          <w:sz w:val="32"/>
          <w:szCs w:val="32"/>
        </w:rPr>
        <w:t>摘要</w:t>
      </w:r>
      <w:r>
        <w:rPr>
          <w:rFonts w:ascii="仿宋" w:eastAsia="仿宋" w:hAnsi="仿宋" w:cs="黑体" w:hint="eastAsia"/>
          <w:sz w:val="32"/>
          <w:szCs w:val="32"/>
        </w:rPr>
        <w:t>：</w:t>
      </w:r>
      <w:r>
        <w:rPr>
          <w:rFonts w:ascii="仿宋" w:eastAsia="仿宋" w:hAnsi="仿宋" w:cs="宋体" w:hint="eastAsia"/>
          <w:sz w:val="32"/>
          <w:szCs w:val="32"/>
        </w:rPr>
        <w:t>近年来，监管部门对会计师事务所的监管处罚趋多趋严，在取得成效的同时，也面临着监管执法高质量发展的迫切需要。一方面，传统监管处罚具有对事务所民事责任的传导效应、业务开展的延伸效应、执业经营的剥夺效应，容易</w:t>
      </w:r>
      <w:proofErr w:type="gramStart"/>
      <w:r>
        <w:rPr>
          <w:rFonts w:ascii="仿宋" w:eastAsia="仿宋" w:hAnsi="仿宋" w:cs="宋体" w:hint="eastAsia"/>
          <w:sz w:val="32"/>
          <w:szCs w:val="32"/>
        </w:rPr>
        <w:t>导致过责失衡</w:t>
      </w:r>
      <w:proofErr w:type="gramEnd"/>
      <w:r>
        <w:rPr>
          <w:rFonts w:ascii="仿宋" w:eastAsia="仿宋" w:hAnsi="仿宋" w:cs="宋体" w:hint="eastAsia"/>
          <w:sz w:val="32"/>
          <w:szCs w:val="32"/>
        </w:rPr>
        <w:t>、影响资本市场生态。另一方面，行政执法承诺制度、</w:t>
      </w:r>
      <w:r w:rsidR="00717230">
        <w:rPr>
          <w:rFonts w:ascii="仿宋" w:eastAsia="仿宋" w:hAnsi="仿宋" w:cs="宋体" w:hint="eastAsia"/>
          <w:sz w:val="32"/>
          <w:szCs w:val="32"/>
        </w:rPr>
        <w:t>质量管理</w:t>
      </w:r>
      <w:r>
        <w:rPr>
          <w:rFonts w:ascii="仿宋" w:eastAsia="仿宋" w:hAnsi="仿宋" w:cs="宋体" w:hint="eastAsia"/>
          <w:sz w:val="32"/>
          <w:szCs w:val="32"/>
        </w:rPr>
        <w:t>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建设等新兴监管</w:t>
      </w:r>
      <w:proofErr w:type="gramStart"/>
      <w:r>
        <w:rPr>
          <w:rFonts w:ascii="仿宋" w:eastAsia="仿宋" w:hAnsi="仿宋" w:cs="宋体" w:hint="eastAsia"/>
          <w:sz w:val="32"/>
          <w:szCs w:val="32"/>
        </w:rPr>
        <w:t>处罚正</w:t>
      </w:r>
      <w:proofErr w:type="gramEnd"/>
      <w:r>
        <w:rPr>
          <w:rFonts w:ascii="仿宋" w:eastAsia="仿宋" w:hAnsi="仿宋" w:cs="宋体" w:hint="eastAsia"/>
          <w:sz w:val="32"/>
          <w:szCs w:val="32"/>
        </w:rPr>
        <w:t>处于探索完善中，实践经验不足。为此，建议引入回应性监管的理念和模式，强调监管的道德性、协商性、预防性和针对性，倡导监管与市场的良性互动。扩大行政执法承诺制度的适用、强化事务所</w:t>
      </w:r>
      <w:r w:rsidR="00717230">
        <w:rPr>
          <w:rFonts w:ascii="仿宋" w:eastAsia="仿宋" w:hAnsi="仿宋" w:cs="宋体" w:hint="eastAsia"/>
          <w:sz w:val="32"/>
          <w:szCs w:val="32"/>
        </w:rPr>
        <w:t>质量管理</w:t>
      </w:r>
      <w:r>
        <w:rPr>
          <w:rFonts w:ascii="仿宋" w:eastAsia="仿宋" w:hAnsi="仿宋" w:cs="宋体" w:hint="eastAsia"/>
          <w:sz w:val="32"/>
          <w:szCs w:val="32"/>
        </w:rPr>
        <w:t>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建设、科学设定“较大数额”行业标准、完善资格罚适用机制，推动监管的合作转型、优化细化，提升资本市场法治建设水平。</w:t>
      </w:r>
    </w:p>
    <w:p w14:paraId="36F5940E" w14:textId="77777777" w:rsidR="00203670" w:rsidRDefault="00203670">
      <w:pPr>
        <w:spacing w:line="288" w:lineRule="auto"/>
        <w:ind w:firstLineChars="200" w:firstLine="640"/>
        <w:rPr>
          <w:rFonts w:ascii="仿宋" w:eastAsia="仿宋" w:hAnsi="仿宋" w:hint="eastAsia"/>
          <w:sz w:val="32"/>
          <w:szCs w:val="32"/>
        </w:rPr>
      </w:pPr>
    </w:p>
    <w:p w14:paraId="063DBB46" w14:textId="77777777" w:rsidR="00203670" w:rsidRDefault="003E3946">
      <w:pPr>
        <w:spacing w:line="288" w:lineRule="auto"/>
        <w:ind w:firstLineChars="200" w:firstLine="643"/>
        <w:rPr>
          <w:rFonts w:ascii="仿宋" w:eastAsia="仿宋" w:hAnsi="仿宋" w:cs="宋体" w:hint="eastAsia"/>
          <w:kern w:val="0"/>
          <w:sz w:val="32"/>
          <w:szCs w:val="32"/>
        </w:rPr>
      </w:pPr>
      <w:r>
        <w:rPr>
          <w:rFonts w:ascii="仿宋" w:eastAsia="仿宋" w:hAnsi="仿宋" w:cs="黑体" w:hint="eastAsia"/>
          <w:b/>
          <w:sz w:val="32"/>
          <w:szCs w:val="32"/>
        </w:rPr>
        <w:t>关键词</w:t>
      </w:r>
      <w:r>
        <w:rPr>
          <w:rFonts w:ascii="仿宋" w:eastAsia="仿宋" w:hAnsi="仿宋" w:cs="黑体" w:hint="eastAsia"/>
          <w:sz w:val="32"/>
          <w:szCs w:val="32"/>
        </w:rPr>
        <w:t>：</w:t>
      </w:r>
      <w:r>
        <w:rPr>
          <w:rFonts w:ascii="仿宋" w:eastAsia="仿宋" w:hAnsi="仿宋" w:cs="宋体" w:hint="eastAsia"/>
          <w:kern w:val="0"/>
          <w:sz w:val="32"/>
          <w:szCs w:val="32"/>
        </w:rPr>
        <w:t>监管处罚；回应性监管；执法承诺；合</w:t>
      </w:r>
      <w:proofErr w:type="gramStart"/>
      <w:r>
        <w:rPr>
          <w:rFonts w:ascii="仿宋" w:eastAsia="仿宋" w:hAnsi="仿宋" w:cs="宋体" w:hint="eastAsia"/>
          <w:kern w:val="0"/>
          <w:sz w:val="32"/>
          <w:szCs w:val="32"/>
        </w:rPr>
        <w:t>规</w:t>
      </w:r>
      <w:proofErr w:type="gramEnd"/>
    </w:p>
    <w:p w14:paraId="09462C46" w14:textId="77777777" w:rsidR="00203670" w:rsidRDefault="003E3946">
      <w:pPr>
        <w:rPr>
          <w:rFonts w:ascii="宋体" w:eastAsia="宋体" w:hAnsi="宋体" w:cs="宋体" w:hint="eastAsia"/>
          <w:kern w:val="0"/>
          <w:sz w:val="28"/>
          <w:szCs w:val="28"/>
        </w:rPr>
      </w:pPr>
      <w:r>
        <w:rPr>
          <w:rFonts w:ascii="宋体" w:eastAsia="宋体" w:hAnsi="宋体" w:cs="宋体" w:hint="eastAsia"/>
          <w:kern w:val="0"/>
          <w:sz w:val="28"/>
          <w:szCs w:val="28"/>
        </w:rPr>
        <w:br w:type="page"/>
      </w:r>
    </w:p>
    <w:sdt>
      <w:sdtPr>
        <w:rPr>
          <w:rFonts w:ascii="黑体" w:eastAsia="黑体" w:hAnsi="黑体" w:cs="黑体" w:hint="eastAsia"/>
          <w:sz w:val="28"/>
          <w:szCs w:val="28"/>
        </w:rPr>
        <w:id w:val="147468130"/>
        <w15:color w:val="DBDBDB"/>
        <w:docPartObj>
          <w:docPartGallery w:val="Table of Contents"/>
          <w:docPartUnique/>
        </w:docPartObj>
      </w:sdtPr>
      <w:sdtEndPr>
        <w:rPr>
          <w:rFonts w:ascii="宋体" w:eastAsia="宋体" w:hAnsi="宋体" w:cs="宋体"/>
          <w:kern w:val="0"/>
          <w:sz w:val="21"/>
        </w:rPr>
      </w:sdtEndPr>
      <w:sdtContent>
        <w:p w14:paraId="641D239D" w14:textId="77777777" w:rsidR="00203670" w:rsidRDefault="003E3946">
          <w:pPr>
            <w:jc w:val="center"/>
            <w:rPr>
              <w:rFonts w:ascii="黑体" w:eastAsia="黑体" w:hAnsi="黑体" w:cs="黑体" w:hint="eastAsia"/>
              <w:sz w:val="28"/>
              <w:szCs w:val="28"/>
            </w:rPr>
          </w:pPr>
          <w:r>
            <w:rPr>
              <w:rFonts w:ascii="黑体" w:eastAsia="黑体" w:hAnsi="黑体" w:cs="黑体" w:hint="eastAsia"/>
              <w:sz w:val="28"/>
              <w:szCs w:val="28"/>
            </w:rPr>
            <w:t>目 录</w:t>
          </w:r>
        </w:p>
        <w:p w14:paraId="4CEC21FD" w14:textId="35510FC7" w:rsidR="00203670" w:rsidRDefault="003E3946">
          <w:pPr>
            <w:pStyle w:val="TOC1"/>
            <w:tabs>
              <w:tab w:val="right" w:leader="dot" w:pos="8306"/>
            </w:tabs>
          </w:pPr>
          <w:r>
            <w:rPr>
              <w:rFonts w:ascii="宋体" w:eastAsia="宋体" w:hAnsi="宋体" w:cs="宋体" w:hint="eastAsia"/>
              <w:kern w:val="0"/>
              <w:sz w:val="28"/>
              <w:szCs w:val="28"/>
            </w:rPr>
            <w:fldChar w:fldCharType="begin"/>
          </w:r>
          <w:r>
            <w:rPr>
              <w:rFonts w:ascii="宋体" w:eastAsia="宋体" w:hAnsi="宋体" w:cs="宋体" w:hint="eastAsia"/>
              <w:kern w:val="0"/>
              <w:sz w:val="28"/>
              <w:szCs w:val="28"/>
            </w:rPr>
            <w:instrText xml:space="preserve">TOC \o "1-3" \h \u </w:instrText>
          </w:r>
          <w:r>
            <w:rPr>
              <w:rFonts w:ascii="宋体" w:eastAsia="宋体" w:hAnsi="宋体" w:cs="宋体" w:hint="eastAsia"/>
              <w:kern w:val="0"/>
              <w:sz w:val="28"/>
              <w:szCs w:val="28"/>
            </w:rPr>
            <w:fldChar w:fldCharType="separate"/>
          </w:r>
          <w:hyperlink w:anchor="_Toc32312" w:history="1">
            <w:r>
              <w:rPr>
                <w:rFonts w:ascii="黑体" w:eastAsia="黑体" w:hAnsi="黑体" w:cs="黑体" w:hint="eastAsia"/>
                <w:bCs/>
                <w:szCs w:val="32"/>
              </w:rPr>
              <w:t>一、传统监管处罚的三大效应</w:t>
            </w:r>
            <w:r>
              <w:tab/>
            </w:r>
            <w:r>
              <w:fldChar w:fldCharType="begin"/>
            </w:r>
            <w:r>
              <w:instrText xml:space="preserve"> PAGEREF _Toc32312 \h </w:instrText>
            </w:r>
            <w:r>
              <w:fldChar w:fldCharType="separate"/>
            </w:r>
            <w:r w:rsidR="007A3A8C">
              <w:rPr>
                <w:noProof/>
              </w:rPr>
              <w:t>1</w:t>
            </w:r>
            <w:r>
              <w:fldChar w:fldCharType="end"/>
            </w:r>
          </w:hyperlink>
        </w:p>
        <w:p w14:paraId="19E0CC97" w14:textId="1B861F7A" w:rsidR="00203670" w:rsidRDefault="003E3946">
          <w:pPr>
            <w:pStyle w:val="TOC2"/>
            <w:tabs>
              <w:tab w:val="right" w:leader="dot" w:pos="8306"/>
            </w:tabs>
          </w:pPr>
          <w:hyperlink w:anchor="_Toc27683" w:history="1">
            <w:r>
              <w:rPr>
                <w:rFonts w:ascii="楷体" w:eastAsia="楷体" w:hAnsi="楷体" w:cs="楷体" w:hint="eastAsia"/>
                <w:bCs/>
                <w:szCs w:val="32"/>
              </w:rPr>
              <w:t>（一）对民事责任的传导效应</w:t>
            </w:r>
            <w:r>
              <w:tab/>
            </w:r>
            <w:r>
              <w:fldChar w:fldCharType="begin"/>
            </w:r>
            <w:r>
              <w:instrText xml:space="preserve"> PAGEREF _Toc27683 \h </w:instrText>
            </w:r>
            <w:r>
              <w:fldChar w:fldCharType="separate"/>
            </w:r>
            <w:r w:rsidR="007A3A8C">
              <w:rPr>
                <w:noProof/>
              </w:rPr>
              <w:t>1</w:t>
            </w:r>
            <w:r>
              <w:fldChar w:fldCharType="end"/>
            </w:r>
          </w:hyperlink>
        </w:p>
        <w:p w14:paraId="601582FD" w14:textId="508C8D88" w:rsidR="00203670" w:rsidRDefault="003E3946">
          <w:pPr>
            <w:pStyle w:val="TOC3"/>
            <w:tabs>
              <w:tab w:val="right" w:leader="dot" w:pos="8306"/>
            </w:tabs>
          </w:pPr>
          <w:hyperlink w:anchor="_Toc32682" w:history="1">
            <w:r>
              <w:rPr>
                <w:rFonts w:ascii="楷体" w:eastAsia="楷体" w:hAnsi="楷体" w:cs="楷体" w:hint="eastAsia"/>
                <w:szCs w:val="32"/>
              </w:rPr>
              <w:t>1.投资者根据监管处罚决定发起集体诉讼</w:t>
            </w:r>
            <w:r>
              <w:tab/>
            </w:r>
            <w:r>
              <w:fldChar w:fldCharType="begin"/>
            </w:r>
            <w:r>
              <w:instrText xml:space="preserve"> PAGEREF _Toc32682 \h </w:instrText>
            </w:r>
            <w:r>
              <w:fldChar w:fldCharType="separate"/>
            </w:r>
            <w:r w:rsidR="007A3A8C">
              <w:rPr>
                <w:noProof/>
              </w:rPr>
              <w:t>2</w:t>
            </w:r>
            <w:r>
              <w:fldChar w:fldCharType="end"/>
            </w:r>
          </w:hyperlink>
        </w:p>
        <w:p w14:paraId="344EFE5A" w14:textId="1AF6BFB5" w:rsidR="00203670" w:rsidRDefault="003E3946">
          <w:pPr>
            <w:pStyle w:val="TOC3"/>
            <w:tabs>
              <w:tab w:val="right" w:leader="dot" w:pos="8306"/>
            </w:tabs>
          </w:pPr>
          <w:hyperlink w:anchor="_Toc29106" w:history="1">
            <w:r>
              <w:rPr>
                <w:rFonts w:ascii="楷体" w:eastAsia="楷体" w:hAnsi="楷体" w:cs="楷体" w:hint="eastAsia"/>
                <w:szCs w:val="32"/>
              </w:rPr>
              <w:t>2.法院高度尊重和依赖监管处罚的认定</w:t>
            </w:r>
            <w:r>
              <w:tab/>
            </w:r>
            <w:r>
              <w:fldChar w:fldCharType="begin"/>
            </w:r>
            <w:r>
              <w:instrText xml:space="preserve"> PAGEREF _Toc29106 \h </w:instrText>
            </w:r>
            <w:r>
              <w:fldChar w:fldCharType="separate"/>
            </w:r>
            <w:r w:rsidR="007A3A8C">
              <w:rPr>
                <w:noProof/>
              </w:rPr>
              <w:t>3</w:t>
            </w:r>
            <w:r>
              <w:fldChar w:fldCharType="end"/>
            </w:r>
          </w:hyperlink>
        </w:p>
        <w:p w14:paraId="55807F63" w14:textId="3B505394" w:rsidR="00203670" w:rsidRDefault="003E3946">
          <w:pPr>
            <w:pStyle w:val="TOC2"/>
            <w:tabs>
              <w:tab w:val="right" w:leader="dot" w:pos="8306"/>
            </w:tabs>
          </w:pPr>
          <w:hyperlink w:anchor="_Toc2162" w:history="1">
            <w:r>
              <w:rPr>
                <w:rFonts w:ascii="楷体" w:eastAsia="楷体" w:hAnsi="楷体" w:cs="楷体" w:hint="eastAsia"/>
                <w:bCs/>
                <w:szCs w:val="32"/>
              </w:rPr>
              <w:t>（二）对业务开展的延伸效应</w:t>
            </w:r>
            <w:r>
              <w:tab/>
            </w:r>
            <w:r>
              <w:fldChar w:fldCharType="begin"/>
            </w:r>
            <w:r>
              <w:instrText xml:space="preserve"> PAGEREF _Toc2162 \h </w:instrText>
            </w:r>
            <w:r>
              <w:fldChar w:fldCharType="separate"/>
            </w:r>
            <w:r w:rsidR="007A3A8C">
              <w:rPr>
                <w:noProof/>
              </w:rPr>
              <w:t>4</w:t>
            </w:r>
            <w:r>
              <w:fldChar w:fldCharType="end"/>
            </w:r>
          </w:hyperlink>
        </w:p>
        <w:p w14:paraId="3DA3D7C0" w14:textId="74E9B15E" w:rsidR="00203670" w:rsidRDefault="003E3946">
          <w:pPr>
            <w:pStyle w:val="TOC3"/>
            <w:tabs>
              <w:tab w:val="right" w:leader="dot" w:pos="8306"/>
            </w:tabs>
          </w:pPr>
          <w:hyperlink w:anchor="_Toc26007" w:history="1">
            <w:r>
              <w:rPr>
                <w:rFonts w:ascii="楷体" w:eastAsia="楷体" w:hAnsi="楷体" w:cs="楷体" w:hint="eastAsia"/>
                <w:szCs w:val="32"/>
              </w:rPr>
              <w:t>1.对投标限制的相关规定趋严</w:t>
            </w:r>
            <w:r>
              <w:tab/>
            </w:r>
            <w:r>
              <w:fldChar w:fldCharType="begin"/>
            </w:r>
            <w:r>
              <w:instrText xml:space="preserve"> PAGEREF _Toc26007 \h </w:instrText>
            </w:r>
            <w:r>
              <w:fldChar w:fldCharType="separate"/>
            </w:r>
            <w:r w:rsidR="007A3A8C">
              <w:rPr>
                <w:noProof/>
              </w:rPr>
              <w:t>5</w:t>
            </w:r>
            <w:r>
              <w:fldChar w:fldCharType="end"/>
            </w:r>
          </w:hyperlink>
        </w:p>
        <w:p w14:paraId="5198B1F9" w14:textId="5A0DF4A6" w:rsidR="00203670" w:rsidRDefault="003E3946">
          <w:pPr>
            <w:pStyle w:val="TOC3"/>
            <w:tabs>
              <w:tab w:val="right" w:leader="dot" w:pos="8306"/>
            </w:tabs>
          </w:pPr>
          <w:hyperlink w:anchor="_Toc29226" w:history="1">
            <w:r>
              <w:rPr>
                <w:rFonts w:ascii="楷体" w:eastAsia="楷体" w:hAnsi="楷体" w:cs="楷体" w:hint="eastAsia"/>
                <w:szCs w:val="32"/>
              </w:rPr>
              <w:t>2.不利的市场影响开始显现</w:t>
            </w:r>
            <w:r>
              <w:tab/>
            </w:r>
            <w:r>
              <w:fldChar w:fldCharType="begin"/>
            </w:r>
            <w:r>
              <w:instrText xml:space="preserve"> PAGEREF _Toc29226 \h </w:instrText>
            </w:r>
            <w:r>
              <w:fldChar w:fldCharType="separate"/>
            </w:r>
            <w:r w:rsidR="007A3A8C">
              <w:rPr>
                <w:noProof/>
              </w:rPr>
              <w:t>7</w:t>
            </w:r>
            <w:r>
              <w:fldChar w:fldCharType="end"/>
            </w:r>
          </w:hyperlink>
        </w:p>
        <w:p w14:paraId="69F07366" w14:textId="1F05A86B" w:rsidR="00203670" w:rsidRDefault="003E3946">
          <w:pPr>
            <w:pStyle w:val="TOC2"/>
            <w:tabs>
              <w:tab w:val="right" w:leader="dot" w:pos="8306"/>
            </w:tabs>
          </w:pPr>
          <w:hyperlink w:anchor="_Toc2009" w:history="1">
            <w:r>
              <w:rPr>
                <w:rFonts w:ascii="楷体" w:eastAsia="楷体" w:hAnsi="楷体" w:cs="楷体" w:hint="eastAsia"/>
                <w:bCs/>
                <w:szCs w:val="32"/>
              </w:rPr>
              <w:t>（三）对执业经营的剥夺效应</w:t>
            </w:r>
            <w:r>
              <w:tab/>
            </w:r>
            <w:r>
              <w:fldChar w:fldCharType="begin"/>
            </w:r>
            <w:r>
              <w:instrText xml:space="preserve"> PAGEREF _Toc2009 \h </w:instrText>
            </w:r>
            <w:r>
              <w:fldChar w:fldCharType="separate"/>
            </w:r>
            <w:r w:rsidR="007A3A8C">
              <w:rPr>
                <w:noProof/>
              </w:rPr>
              <w:t>8</w:t>
            </w:r>
            <w:r>
              <w:fldChar w:fldCharType="end"/>
            </w:r>
          </w:hyperlink>
        </w:p>
        <w:p w14:paraId="4887F702" w14:textId="1B2D2203" w:rsidR="00203670" w:rsidRDefault="003E3946">
          <w:pPr>
            <w:pStyle w:val="TOC3"/>
            <w:tabs>
              <w:tab w:val="right" w:leader="dot" w:pos="8306"/>
            </w:tabs>
          </w:pPr>
          <w:hyperlink w:anchor="_Toc24135" w:history="1">
            <w:r>
              <w:rPr>
                <w:rFonts w:ascii="楷体" w:eastAsia="楷体" w:hAnsi="楷体" w:cs="楷体" w:hint="eastAsia"/>
                <w:szCs w:val="32"/>
              </w:rPr>
              <w:t>1.经营中断与客户流失</w:t>
            </w:r>
            <w:r>
              <w:tab/>
            </w:r>
            <w:r>
              <w:fldChar w:fldCharType="begin"/>
            </w:r>
            <w:r>
              <w:instrText xml:space="preserve"> PAGEREF _Toc24135 \h </w:instrText>
            </w:r>
            <w:r>
              <w:fldChar w:fldCharType="separate"/>
            </w:r>
            <w:r w:rsidR="007A3A8C">
              <w:rPr>
                <w:noProof/>
              </w:rPr>
              <w:t>8</w:t>
            </w:r>
            <w:r>
              <w:fldChar w:fldCharType="end"/>
            </w:r>
          </w:hyperlink>
        </w:p>
        <w:p w14:paraId="231BD13C" w14:textId="6B5E9218" w:rsidR="00203670" w:rsidRDefault="003E3946">
          <w:pPr>
            <w:pStyle w:val="TOC3"/>
            <w:tabs>
              <w:tab w:val="right" w:leader="dot" w:pos="8306"/>
            </w:tabs>
          </w:pPr>
          <w:hyperlink w:anchor="_Toc30585" w:history="1">
            <w:r>
              <w:rPr>
                <w:rFonts w:ascii="楷体" w:eastAsia="楷体" w:hAnsi="楷体" w:cs="楷体" w:hint="eastAsia"/>
                <w:szCs w:val="32"/>
              </w:rPr>
              <w:t>2.合伙人与员工的连锁风险</w:t>
            </w:r>
            <w:r>
              <w:tab/>
            </w:r>
            <w:r>
              <w:fldChar w:fldCharType="begin"/>
            </w:r>
            <w:r>
              <w:instrText xml:space="preserve"> PAGEREF _Toc30585 \h </w:instrText>
            </w:r>
            <w:r>
              <w:fldChar w:fldCharType="separate"/>
            </w:r>
            <w:r w:rsidR="007A3A8C">
              <w:rPr>
                <w:noProof/>
              </w:rPr>
              <w:t>10</w:t>
            </w:r>
            <w:r>
              <w:fldChar w:fldCharType="end"/>
            </w:r>
          </w:hyperlink>
        </w:p>
        <w:p w14:paraId="7D36A58A" w14:textId="6F1D9F97" w:rsidR="00203670" w:rsidRDefault="003E3946">
          <w:pPr>
            <w:pStyle w:val="TOC3"/>
            <w:tabs>
              <w:tab w:val="right" w:leader="dot" w:pos="8306"/>
            </w:tabs>
          </w:pPr>
          <w:hyperlink w:anchor="_Toc28063" w:history="1">
            <w:r>
              <w:rPr>
                <w:rFonts w:ascii="楷体" w:eastAsia="楷体" w:hAnsi="楷体" w:cs="楷体" w:hint="eastAsia"/>
              </w:rPr>
              <w:t>3.在审项目的违约成本</w:t>
            </w:r>
            <w:r>
              <w:tab/>
            </w:r>
            <w:r>
              <w:fldChar w:fldCharType="begin"/>
            </w:r>
            <w:r>
              <w:instrText xml:space="preserve"> PAGEREF _Toc28063 \h </w:instrText>
            </w:r>
            <w:r>
              <w:fldChar w:fldCharType="separate"/>
            </w:r>
            <w:r w:rsidR="007A3A8C">
              <w:rPr>
                <w:noProof/>
              </w:rPr>
              <w:t>11</w:t>
            </w:r>
            <w:r>
              <w:fldChar w:fldCharType="end"/>
            </w:r>
          </w:hyperlink>
        </w:p>
        <w:p w14:paraId="3479888F" w14:textId="7E888566" w:rsidR="00203670" w:rsidRDefault="003E3946">
          <w:pPr>
            <w:pStyle w:val="TOC3"/>
            <w:tabs>
              <w:tab w:val="right" w:leader="dot" w:pos="8306"/>
            </w:tabs>
          </w:pPr>
          <w:hyperlink w:anchor="_Toc16491" w:history="1">
            <w:r>
              <w:rPr>
                <w:rFonts w:ascii="楷体" w:eastAsia="楷体" w:hAnsi="楷体" w:cs="楷体" w:hint="eastAsia"/>
              </w:rPr>
              <w:t>4.信用与市场准入的持续负面记录</w:t>
            </w:r>
            <w:r>
              <w:tab/>
            </w:r>
            <w:r>
              <w:fldChar w:fldCharType="begin"/>
            </w:r>
            <w:r>
              <w:instrText xml:space="preserve"> PAGEREF _Toc16491 \h </w:instrText>
            </w:r>
            <w:r>
              <w:fldChar w:fldCharType="separate"/>
            </w:r>
            <w:r w:rsidR="007A3A8C">
              <w:rPr>
                <w:noProof/>
              </w:rPr>
              <w:t>11</w:t>
            </w:r>
            <w:r>
              <w:fldChar w:fldCharType="end"/>
            </w:r>
          </w:hyperlink>
        </w:p>
        <w:p w14:paraId="35789F4E" w14:textId="02786BA0" w:rsidR="00203670" w:rsidRDefault="003E3946">
          <w:pPr>
            <w:pStyle w:val="TOC1"/>
            <w:tabs>
              <w:tab w:val="right" w:leader="dot" w:pos="8306"/>
            </w:tabs>
          </w:pPr>
          <w:hyperlink w:anchor="_Toc30977" w:history="1">
            <w:r>
              <w:rPr>
                <w:rFonts w:ascii="黑体" w:eastAsia="黑体" w:hAnsi="黑体" w:cs="黑体" w:hint="eastAsia"/>
                <w:bCs/>
                <w:szCs w:val="32"/>
              </w:rPr>
              <w:t>二、新兴监管处罚的创新发展</w:t>
            </w:r>
            <w:r>
              <w:tab/>
            </w:r>
            <w:r>
              <w:fldChar w:fldCharType="begin"/>
            </w:r>
            <w:r>
              <w:instrText xml:space="preserve"> PAGEREF _Toc30977 \h </w:instrText>
            </w:r>
            <w:r>
              <w:fldChar w:fldCharType="separate"/>
            </w:r>
            <w:r w:rsidR="007A3A8C">
              <w:rPr>
                <w:noProof/>
              </w:rPr>
              <w:t>12</w:t>
            </w:r>
            <w:r>
              <w:fldChar w:fldCharType="end"/>
            </w:r>
          </w:hyperlink>
        </w:p>
        <w:p w14:paraId="6F844681" w14:textId="164DDA82" w:rsidR="00203670" w:rsidRDefault="003E3946">
          <w:pPr>
            <w:pStyle w:val="TOC2"/>
            <w:tabs>
              <w:tab w:val="right" w:leader="dot" w:pos="8306"/>
            </w:tabs>
          </w:pPr>
          <w:hyperlink w:anchor="_Toc2622" w:history="1">
            <w:r>
              <w:rPr>
                <w:rFonts w:ascii="楷体" w:eastAsia="楷体" w:hAnsi="楷体" w:cs="楷体" w:hint="eastAsia"/>
                <w:bCs/>
              </w:rPr>
              <w:t>（一）执法承诺制度的探索适用</w:t>
            </w:r>
            <w:r>
              <w:tab/>
            </w:r>
            <w:r>
              <w:fldChar w:fldCharType="begin"/>
            </w:r>
            <w:r>
              <w:instrText xml:space="preserve"> PAGEREF _Toc2622 \h </w:instrText>
            </w:r>
            <w:r>
              <w:fldChar w:fldCharType="separate"/>
            </w:r>
            <w:r w:rsidR="007A3A8C">
              <w:rPr>
                <w:noProof/>
              </w:rPr>
              <w:t>12</w:t>
            </w:r>
            <w:r>
              <w:fldChar w:fldCharType="end"/>
            </w:r>
          </w:hyperlink>
        </w:p>
        <w:p w14:paraId="4091B488" w14:textId="63A6FE0E" w:rsidR="00203670" w:rsidRDefault="003E3946">
          <w:pPr>
            <w:pStyle w:val="TOC3"/>
            <w:tabs>
              <w:tab w:val="right" w:leader="dot" w:pos="8306"/>
            </w:tabs>
          </w:pPr>
          <w:hyperlink w:anchor="_Toc31672" w:history="1">
            <w:r>
              <w:rPr>
                <w:rFonts w:ascii="楷体" w:eastAsia="楷体" w:hAnsi="楷体" w:cs="楷体" w:hint="eastAsia"/>
              </w:rPr>
              <w:t>1.案例简介</w:t>
            </w:r>
            <w:r>
              <w:tab/>
            </w:r>
            <w:r>
              <w:fldChar w:fldCharType="begin"/>
            </w:r>
            <w:r>
              <w:instrText xml:space="preserve"> PAGEREF _Toc31672 \h </w:instrText>
            </w:r>
            <w:r>
              <w:fldChar w:fldCharType="separate"/>
            </w:r>
            <w:r w:rsidR="007A3A8C">
              <w:rPr>
                <w:noProof/>
              </w:rPr>
              <w:t>12</w:t>
            </w:r>
            <w:r>
              <w:fldChar w:fldCharType="end"/>
            </w:r>
          </w:hyperlink>
        </w:p>
        <w:p w14:paraId="30C78E03" w14:textId="34A8C5AE" w:rsidR="00203670" w:rsidRDefault="003E3946">
          <w:pPr>
            <w:pStyle w:val="TOC3"/>
            <w:tabs>
              <w:tab w:val="right" w:leader="dot" w:pos="8306"/>
            </w:tabs>
          </w:pPr>
          <w:hyperlink w:anchor="_Toc29993" w:history="1">
            <w:r>
              <w:rPr>
                <w:rFonts w:ascii="楷体" w:eastAsia="楷体" w:hAnsi="楷体" w:cs="楷体" w:hint="eastAsia"/>
              </w:rPr>
              <w:t>2.实施效果</w:t>
            </w:r>
            <w:r>
              <w:tab/>
            </w:r>
            <w:r>
              <w:fldChar w:fldCharType="begin"/>
            </w:r>
            <w:r>
              <w:instrText xml:space="preserve"> PAGEREF _Toc29993 \h </w:instrText>
            </w:r>
            <w:r>
              <w:fldChar w:fldCharType="separate"/>
            </w:r>
            <w:r w:rsidR="007A3A8C">
              <w:rPr>
                <w:noProof/>
              </w:rPr>
              <w:t>14</w:t>
            </w:r>
            <w:r>
              <w:fldChar w:fldCharType="end"/>
            </w:r>
          </w:hyperlink>
        </w:p>
        <w:p w14:paraId="729FE34D" w14:textId="2A889F17" w:rsidR="00203670" w:rsidRDefault="003E3946">
          <w:pPr>
            <w:pStyle w:val="TOC3"/>
            <w:tabs>
              <w:tab w:val="right" w:leader="dot" w:pos="8306"/>
            </w:tabs>
          </w:pPr>
          <w:hyperlink w:anchor="_Toc9963" w:history="1">
            <w:r>
              <w:rPr>
                <w:rFonts w:ascii="楷体" w:eastAsia="楷体" w:hAnsi="楷体" w:cs="楷体" w:hint="eastAsia"/>
              </w:rPr>
              <w:t>3.主要问题</w:t>
            </w:r>
            <w:r>
              <w:tab/>
            </w:r>
            <w:r>
              <w:fldChar w:fldCharType="begin"/>
            </w:r>
            <w:r>
              <w:instrText xml:space="preserve"> PAGEREF _Toc9963 \h </w:instrText>
            </w:r>
            <w:r>
              <w:fldChar w:fldCharType="separate"/>
            </w:r>
            <w:r w:rsidR="007A3A8C">
              <w:rPr>
                <w:noProof/>
              </w:rPr>
              <w:t>15</w:t>
            </w:r>
            <w:r>
              <w:fldChar w:fldCharType="end"/>
            </w:r>
          </w:hyperlink>
        </w:p>
        <w:p w14:paraId="7ADFF57C" w14:textId="3A32B969" w:rsidR="00203670" w:rsidRDefault="003E3946">
          <w:pPr>
            <w:pStyle w:val="TOC2"/>
            <w:tabs>
              <w:tab w:val="right" w:leader="dot" w:pos="8306"/>
            </w:tabs>
          </w:pPr>
          <w:hyperlink w:anchor="_Toc24661" w:history="1">
            <w:r>
              <w:rPr>
                <w:rFonts w:ascii="楷体" w:eastAsia="楷体" w:hAnsi="楷体" w:cs="楷体" w:hint="eastAsia"/>
                <w:bCs/>
              </w:rPr>
              <w:t>（二）</w:t>
            </w:r>
            <w:r w:rsidR="00717230">
              <w:rPr>
                <w:rFonts w:ascii="楷体" w:eastAsia="楷体" w:hAnsi="楷体" w:cs="楷体" w:hint="eastAsia"/>
                <w:bCs/>
              </w:rPr>
              <w:t>质量管理</w:t>
            </w:r>
            <w:r>
              <w:rPr>
                <w:rFonts w:ascii="楷体" w:eastAsia="楷体" w:hAnsi="楷体" w:cs="楷体" w:hint="eastAsia"/>
                <w:bCs/>
              </w:rPr>
              <w:t>合规建设的高度重视</w:t>
            </w:r>
            <w:r>
              <w:tab/>
            </w:r>
            <w:r>
              <w:fldChar w:fldCharType="begin"/>
            </w:r>
            <w:r>
              <w:instrText xml:space="preserve"> PAGEREF _Toc24661 \h </w:instrText>
            </w:r>
            <w:r>
              <w:fldChar w:fldCharType="separate"/>
            </w:r>
            <w:r w:rsidR="007A3A8C">
              <w:rPr>
                <w:noProof/>
              </w:rPr>
              <w:t>18</w:t>
            </w:r>
            <w:r>
              <w:fldChar w:fldCharType="end"/>
            </w:r>
          </w:hyperlink>
        </w:p>
        <w:p w14:paraId="7CD98144" w14:textId="5FF26202" w:rsidR="00203670" w:rsidRDefault="003E3946">
          <w:pPr>
            <w:pStyle w:val="TOC3"/>
            <w:tabs>
              <w:tab w:val="right" w:leader="dot" w:pos="8306"/>
            </w:tabs>
          </w:pPr>
          <w:hyperlink w:anchor="_Toc3385" w:history="1">
            <w:r>
              <w:rPr>
                <w:rFonts w:ascii="楷体" w:eastAsia="楷体" w:hAnsi="楷体" w:cs="楷体" w:hint="eastAsia"/>
              </w:rPr>
              <w:t>1.处罚情况</w:t>
            </w:r>
            <w:r>
              <w:tab/>
            </w:r>
            <w:r>
              <w:fldChar w:fldCharType="begin"/>
            </w:r>
            <w:r>
              <w:instrText xml:space="preserve"> PAGEREF _Toc3385 \h </w:instrText>
            </w:r>
            <w:r>
              <w:fldChar w:fldCharType="separate"/>
            </w:r>
            <w:r w:rsidR="007A3A8C">
              <w:rPr>
                <w:noProof/>
              </w:rPr>
              <w:t>18</w:t>
            </w:r>
            <w:r>
              <w:fldChar w:fldCharType="end"/>
            </w:r>
          </w:hyperlink>
        </w:p>
        <w:p w14:paraId="3F410B35" w14:textId="4A5873C7" w:rsidR="00203670" w:rsidRDefault="003E3946">
          <w:pPr>
            <w:pStyle w:val="TOC3"/>
            <w:tabs>
              <w:tab w:val="right" w:leader="dot" w:pos="8306"/>
            </w:tabs>
          </w:pPr>
          <w:hyperlink w:anchor="_Toc27544" w:history="1">
            <w:r>
              <w:rPr>
                <w:rFonts w:ascii="楷体" w:eastAsia="楷体" w:hAnsi="楷体" w:cs="楷体" w:hint="eastAsia"/>
              </w:rPr>
              <w:t>2.相关问题</w:t>
            </w:r>
            <w:r>
              <w:tab/>
            </w:r>
            <w:r>
              <w:fldChar w:fldCharType="begin"/>
            </w:r>
            <w:r>
              <w:instrText xml:space="preserve"> PAGEREF _Toc27544 \h </w:instrText>
            </w:r>
            <w:r>
              <w:fldChar w:fldCharType="separate"/>
            </w:r>
            <w:r w:rsidR="007A3A8C">
              <w:rPr>
                <w:noProof/>
              </w:rPr>
              <w:t>20</w:t>
            </w:r>
            <w:r>
              <w:fldChar w:fldCharType="end"/>
            </w:r>
          </w:hyperlink>
        </w:p>
        <w:p w14:paraId="3D57D3AF" w14:textId="4606CCF5" w:rsidR="00203670" w:rsidRDefault="003E3946">
          <w:pPr>
            <w:pStyle w:val="TOC1"/>
            <w:tabs>
              <w:tab w:val="right" w:leader="dot" w:pos="8306"/>
            </w:tabs>
          </w:pPr>
          <w:hyperlink w:anchor="_Toc4102" w:history="1">
            <w:r>
              <w:rPr>
                <w:rFonts w:ascii="黑体" w:eastAsia="黑体" w:hAnsi="黑体" w:cs="黑体" w:hint="eastAsia"/>
                <w:bCs/>
                <w:szCs w:val="32"/>
              </w:rPr>
              <w:t>三、回应性监管理论的引入</w:t>
            </w:r>
            <w:r>
              <w:tab/>
            </w:r>
            <w:r>
              <w:fldChar w:fldCharType="begin"/>
            </w:r>
            <w:r>
              <w:instrText xml:space="preserve"> PAGEREF _Toc4102 \h </w:instrText>
            </w:r>
            <w:r>
              <w:fldChar w:fldCharType="separate"/>
            </w:r>
            <w:r w:rsidR="007A3A8C">
              <w:rPr>
                <w:noProof/>
              </w:rPr>
              <w:t>23</w:t>
            </w:r>
            <w:r>
              <w:fldChar w:fldCharType="end"/>
            </w:r>
          </w:hyperlink>
        </w:p>
        <w:p w14:paraId="6D60BBD6" w14:textId="0C9A5F78" w:rsidR="00203670" w:rsidRDefault="003E3946">
          <w:pPr>
            <w:pStyle w:val="TOC2"/>
            <w:tabs>
              <w:tab w:val="right" w:leader="dot" w:pos="8306"/>
            </w:tabs>
          </w:pPr>
          <w:hyperlink w:anchor="_Toc22537" w:history="1">
            <w:r>
              <w:rPr>
                <w:rFonts w:ascii="楷体" w:eastAsia="楷体" w:hAnsi="楷体" w:cs="楷体" w:hint="eastAsia"/>
                <w:bCs/>
              </w:rPr>
              <w:t>（一） 道德性：注重区分事务所的动机和能力</w:t>
            </w:r>
            <w:r>
              <w:tab/>
            </w:r>
            <w:r>
              <w:fldChar w:fldCharType="begin"/>
            </w:r>
            <w:r>
              <w:instrText xml:space="preserve"> PAGEREF _Toc22537 \h </w:instrText>
            </w:r>
            <w:r>
              <w:fldChar w:fldCharType="separate"/>
            </w:r>
            <w:r w:rsidR="007A3A8C">
              <w:rPr>
                <w:noProof/>
              </w:rPr>
              <w:t>24</w:t>
            </w:r>
            <w:r>
              <w:fldChar w:fldCharType="end"/>
            </w:r>
          </w:hyperlink>
        </w:p>
        <w:p w14:paraId="3312E3B9" w14:textId="442D0FB1" w:rsidR="00203670" w:rsidRDefault="003E3946">
          <w:pPr>
            <w:pStyle w:val="TOC2"/>
            <w:tabs>
              <w:tab w:val="right" w:leader="dot" w:pos="8306"/>
            </w:tabs>
          </w:pPr>
          <w:hyperlink w:anchor="_Toc17486" w:history="1">
            <w:r>
              <w:rPr>
                <w:rFonts w:ascii="楷体" w:eastAsia="楷体" w:hAnsi="楷体" w:cs="楷体" w:hint="eastAsia"/>
                <w:bCs/>
              </w:rPr>
              <w:t>（二） 协商性：注重事务所主体地位及其权利表达</w:t>
            </w:r>
            <w:r>
              <w:tab/>
            </w:r>
            <w:r>
              <w:fldChar w:fldCharType="begin"/>
            </w:r>
            <w:r>
              <w:instrText xml:space="preserve"> PAGEREF _Toc17486 \h </w:instrText>
            </w:r>
            <w:r>
              <w:fldChar w:fldCharType="separate"/>
            </w:r>
            <w:r w:rsidR="007A3A8C">
              <w:rPr>
                <w:noProof/>
              </w:rPr>
              <w:t>25</w:t>
            </w:r>
            <w:r>
              <w:fldChar w:fldCharType="end"/>
            </w:r>
          </w:hyperlink>
        </w:p>
        <w:p w14:paraId="76B70818" w14:textId="4AFD35CE" w:rsidR="00203670" w:rsidRDefault="003E3946">
          <w:pPr>
            <w:pStyle w:val="TOC2"/>
            <w:tabs>
              <w:tab w:val="right" w:leader="dot" w:pos="8306"/>
            </w:tabs>
          </w:pPr>
          <w:hyperlink w:anchor="_Toc17925" w:history="1">
            <w:r>
              <w:rPr>
                <w:rFonts w:ascii="楷体" w:eastAsia="楷体" w:hAnsi="楷体" w:cs="楷体" w:hint="eastAsia"/>
                <w:bCs/>
              </w:rPr>
              <w:t>（三） 预防性：注重事务所的</w:t>
            </w:r>
            <w:r w:rsidR="00717230">
              <w:rPr>
                <w:rFonts w:ascii="楷体" w:eastAsia="楷体" w:hAnsi="楷体" w:cs="楷体" w:hint="eastAsia"/>
                <w:bCs/>
              </w:rPr>
              <w:t>质量管理</w:t>
            </w:r>
            <w:r>
              <w:rPr>
                <w:rFonts w:ascii="楷体" w:eastAsia="楷体" w:hAnsi="楷体" w:cs="楷体" w:hint="eastAsia"/>
                <w:bCs/>
              </w:rPr>
              <w:t>合规建设</w:t>
            </w:r>
            <w:r>
              <w:tab/>
            </w:r>
            <w:r>
              <w:fldChar w:fldCharType="begin"/>
            </w:r>
            <w:r>
              <w:instrText xml:space="preserve"> PAGEREF _Toc17925 \h </w:instrText>
            </w:r>
            <w:r>
              <w:fldChar w:fldCharType="separate"/>
            </w:r>
            <w:r w:rsidR="007A3A8C">
              <w:rPr>
                <w:noProof/>
              </w:rPr>
              <w:t>26</w:t>
            </w:r>
            <w:r>
              <w:fldChar w:fldCharType="end"/>
            </w:r>
          </w:hyperlink>
        </w:p>
        <w:p w14:paraId="66BE8364" w14:textId="531A3596" w:rsidR="00203670" w:rsidRDefault="003E3946">
          <w:pPr>
            <w:pStyle w:val="TOC2"/>
            <w:tabs>
              <w:tab w:val="right" w:leader="dot" w:pos="8306"/>
            </w:tabs>
          </w:pPr>
          <w:hyperlink w:anchor="_Toc29437" w:history="1">
            <w:r>
              <w:rPr>
                <w:rFonts w:ascii="楷体" w:eastAsia="楷体" w:hAnsi="楷体" w:cs="楷体" w:hint="eastAsia"/>
                <w:bCs/>
              </w:rPr>
              <w:t>（四） 针对性：注重事务所规制体系的完善</w:t>
            </w:r>
            <w:r>
              <w:tab/>
            </w:r>
            <w:r>
              <w:fldChar w:fldCharType="begin"/>
            </w:r>
            <w:r>
              <w:instrText xml:space="preserve"> PAGEREF _Toc29437 \h </w:instrText>
            </w:r>
            <w:r>
              <w:fldChar w:fldCharType="separate"/>
            </w:r>
            <w:r w:rsidR="007A3A8C">
              <w:rPr>
                <w:noProof/>
              </w:rPr>
              <w:t>27</w:t>
            </w:r>
            <w:r>
              <w:fldChar w:fldCharType="end"/>
            </w:r>
          </w:hyperlink>
        </w:p>
        <w:p w14:paraId="35C38B24" w14:textId="5D32007A" w:rsidR="00203670" w:rsidRDefault="003E3946">
          <w:pPr>
            <w:pStyle w:val="TOC1"/>
            <w:tabs>
              <w:tab w:val="right" w:leader="dot" w:pos="8306"/>
            </w:tabs>
          </w:pPr>
          <w:hyperlink w:anchor="_Toc1192" w:history="1">
            <w:r>
              <w:rPr>
                <w:rFonts w:ascii="黑体" w:eastAsia="黑体" w:hAnsi="黑体" w:cs="黑体" w:hint="eastAsia"/>
                <w:bCs/>
                <w:szCs w:val="32"/>
              </w:rPr>
              <w:t>四、若干制度建议</w:t>
            </w:r>
            <w:r>
              <w:tab/>
            </w:r>
            <w:r>
              <w:fldChar w:fldCharType="begin"/>
            </w:r>
            <w:r>
              <w:instrText xml:space="preserve"> PAGEREF _Toc1192 \h </w:instrText>
            </w:r>
            <w:r>
              <w:fldChar w:fldCharType="separate"/>
            </w:r>
            <w:r w:rsidR="007A3A8C">
              <w:rPr>
                <w:noProof/>
              </w:rPr>
              <w:t>29</w:t>
            </w:r>
            <w:r>
              <w:fldChar w:fldCharType="end"/>
            </w:r>
          </w:hyperlink>
        </w:p>
        <w:p w14:paraId="29BDA890" w14:textId="2A099812" w:rsidR="00203670" w:rsidRDefault="003E3946">
          <w:pPr>
            <w:pStyle w:val="TOC2"/>
            <w:tabs>
              <w:tab w:val="right" w:leader="dot" w:pos="8306"/>
            </w:tabs>
          </w:pPr>
          <w:hyperlink w:anchor="_Toc14622" w:history="1">
            <w:r>
              <w:rPr>
                <w:rFonts w:ascii="楷体" w:eastAsia="楷体" w:hAnsi="楷体" w:cs="楷体" w:hint="eastAsia"/>
                <w:bCs/>
              </w:rPr>
              <w:t>（一）扩大行政执法承诺制度的适用</w:t>
            </w:r>
            <w:r>
              <w:tab/>
            </w:r>
            <w:r>
              <w:fldChar w:fldCharType="begin"/>
            </w:r>
            <w:r>
              <w:instrText xml:space="preserve"> PAGEREF _Toc14622 \h </w:instrText>
            </w:r>
            <w:r>
              <w:fldChar w:fldCharType="separate"/>
            </w:r>
            <w:r w:rsidR="007A3A8C">
              <w:rPr>
                <w:noProof/>
              </w:rPr>
              <w:t>30</w:t>
            </w:r>
            <w:r>
              <w:fldChar w:fldCharType="end"/>
            </w:r>
          </w:hyperlink>
        </w:p>
        <w:p w14:paraId="6BF876E6" w14:textId="38CBC2A4" w:rsidR="00203670" w:rsidRDefault="003E3946">
          <w:pPr>
            <w:pStyle w:val="TOC3"/>
            <w:tabs>
              <w:tab w:val="right" w:leader="dot" w:pos="8306"/>
            </w:tabs>
          </w:pPr>
          <w:hyperlink w:anchor="_Toc1479" w:history="1">
            <w:r>
              <w:rPr>
                <w:rFonts w:ascii="楷体" w:eastAsia="楷体" w:hAnsi="楷体" w:cs="楷体" w:hint="eastAsia"/>
              </w:rPr>
              <w:t>1.推动监管理念的合作化转型</w:t>
            </w:r>
            <w:r>
              <w:tab/>
            </w:r>
            <w:r>
              <w:fldChar w:fldCharType="begin"/>
            </w:r>
            <w:r>
              <w:instrText xml:space="preserve"> PAGEREF _Toc1479 \h </w:instrText>
            </w:r>
            <w:r>
              <w:fldChar w:fldCharType="separate"/>
            </w:r>
            <w:r w:rsidR="007A3A8C">
              <w:rPr>
                <w:noProof/>
              </w:rPr>
              <w:t>30</w:t>
            </w:r>
            <w:r>
              <w:fldChar w:fldCharType="end"/>
            </w:r>
          </w:hyperlink>
        </w:p>
        <w:p w14:paraId="35F6468C" w14:textId="49D98863" w:rsidR="00203670" w:rsidRDefault="003E3946">
          <w:pPr>
            <w:pStyle w:val="TOC3"/>
            <w:tabs>
              <w:tab w:val="right" w:leader="dot" w:pos="8306"/>
            </w:tabs>
          </w:pPr>
          <w:hyperlink w:anchor="_Toc11867" w:history="1">
            <w:r>
              <w:rPr>
                <w:rFonts w:ascii="楷体" w:eastAsia="楷体" w:hAnsi="楷体" w:cs="楷体" w:hint="eastAsia"/>
              </w:rPr>
              <w:t>2.合理确定承诺金标准</w:t>
            </w:r>
            <w:r>
              <w:tab/>
            </w:r>
            <w:r>
              <w:fldChar w:fldCharType="begin"/>
            </w:r>
            <w:r>
              <w:instrText xml:space="preserve"> PAGEREF _Toc11867 \h </w:instrText>
            </w:r>
            <w:r>
              <w:fldChar w:fldCharType="separate"/>
            </w:r>
            <w:r w:rsidR="007A3A8C">
              <w:rPr>
                <w:noProof/>
              </w:rPr>
              <w:t>31</w:t>
            </w:r>
            <w:r>
              <w:fldChar w:fldCharType="end"/>
            </w:r>
          </w:hyperlink>
        </w:p>
        <w:p w14:paraId="43FD3F67" w14:textId="1F6D743B" w:rsidR="00203670" w:rsidRDefault="003E3946">
          <w:pPr>
            <w:pStyle w:val="TOC3"/>
            <w:tabs>
              <w:tab w:val="right" w:leader="dot" w:pos="8306"/>
            </w:tabs>
          </w:pPr>
          <w:hyperlink w:anchor="_Toc25317" w:history="1">
            <w:r>
              <w:rPr>
                <w:rFonts w:ascii="楷体" w:eastAsia="楷体" w:hAnsi="楷体" w:cs="楷体" w:hint="eastAsia"/>
              </w:rPr>
              <w:t>3.明确事务所向首恶追偿的可行路径</w:t>
            </w:r>
            <w:r>
              <w:tab/>
            </w:r>
            <w:r>
              <w:fldChar w:fldCharType="begin"/>
            </w:r>
            <w:r>
              <w:instrText xml:space="preserve"> PAGEREF _Toc25317 \h </w:instrText>
            </w:r>
            <w:r>
              <w:fldChar w:fldCharType="separate"/>
            </w:r>
            <w:r w:rsidR="007A3A8C">
              <w:rPr>
                <w:noProof/>
              </w:rPr>
              <w:t>32</w:t>
            </w:r>
            <w:r>
              <w:fldChar w:fldCharType="end"/>
            </w:r>
          </w:hyperlink>
        </w:p>
        <w:p w14:paraId="65762463" w14:textId="2FD3071F" w:rsidR="00203670" w:rsidRDefault="003E3946">
          <w:pPr>
            <w:pStyle w:val="TOC2"/>
            <w:tabs>
              <w:tab w:val="right" w:leader="dot" w:pos="8306"/>
            </w:tabs>
          </w:pPr>
          <w:hyperlink w:anchor="_Toc27812" w:history="1">
            <w:r>
              <w:rPr>
                <w:rFonts w:ascii="楷体" w:eastAsia="楷体" w:hAnsi="楷体" w:cs="楷体" w:hint="eastAsia"/>
                <w:bCs/>
              </w:rPr>
              <w:t>（二）强化事务所</w:t>
            </w:r>
            <w:r w:rsidR="00717230">
              <w:rPr>
                <w:rFonts w:ascii="楷体" w:eastAsia="楷体" w:hAnsi="楷体" w:cs="楷体" w:hint="eastAsia"/>
                <w:bCs/>
              </w:rPr>
              <w:t>质量管理</w:t>
            </w:r>
            <w:r>
              <w:rPr>
                <w:rFonts w:ascii="楷体" w:eastAsia="楷体" w:hAnsi="楷体" w:cs="楷体" w:hint="eastAsia"/>
                <w:bCs/>
              </w:rPr>
              <w:t>合规建设</w:t>
            </w:r>
            <w:r>
              <w:tab/>
            </w:r>
            <w:r>
              <w:fldChar w:fldCharType="begin"/>
            </w:r>
            <w:r>
              <w:instrText xml:space="preserve"> PAGEREF _Toc27812 \h </w:instrText>
            </w:r>
            <w:r>
              <w:fldChar w:fldCharType="separate"/>
            </w:r>
            <w:r w:rsidR="007A3A8C">
              <w:rPr>
                <w:noProof/>
              </w:rPr>
              <w:t>33</w:t>
            </w:r>
            <w:r>
              <w:fldChar w:fldCharType="end"/>
            </w:r>
          </w:hyperlink>
        </w:p>
        <w:p w14:paraId="005EDF3B" w14:textId="463D8C87" w:rsidR="00203670" w:rsidRDefault="003E3946">
          <w:pPr>
            <w:pStyle w:val="TOC3"/>
            <w:tabs>
              <w:tab w:val="right" w:leader="dot" w:pos="8306"/>
            </w:tabs>
          </w:pPr>
          <w:hyperlink w:anchor="_Toc708" w:history="1">
            <w:r>
              <w:rPr>
                <w:rFonts w:ascii="楷体" w:eastAsia="楷体" w:hAnsi="楷体" w:cs="楷体" w:hint="eastAsia"/>
              </w:rPr>
              <w:t>1.</w:t>
            </w:r>
            <w:r w:rsidR="000E0E53">
              <w:rPr>
                <w:rFonts w:ascii="楷体" w:eastAsia="楷体" w:hAnsi="楷体" w:cs="楷体" w:hint="eastAsia"/>
              </w:rPr>
              <w:t>深化</w:t>
            </w:r>
            <w:r>
              <w:rPr>
                <w:rFonts w:ascii="楷体" w:eastAsia="楷体" w:hAnsi="楷体" w:cs="楷体" w:hint="eastAsia"/>
              </w:rPr>
              <w:t>系统化的</w:t>
            </w:r>
            <w:r w:rsidR="00717230">
              <w:rPr>
                <w:rFonts w:ascii="楷体" w:eastAsia="楷体" w:hAnsi="楷体" w:cs="楷体" w:hint="eastAsia"/>
              </w:rPr>
              <w:t>质量管理</w:t>
            </w:r>
            <w:r>
              <w:rPr>
                <w:rFonts w:ascii="楷体" w:eastAsia="楷体" w:hAnsi="楷体" w:cs="楷体" w:hint="eastAsia"/>
              </w:rPr>
              <w:t>合规体系</w:t>
            </w:r>
            <w:r>
              <w:tab/>
            </w:r>
            <w:r w:rsidR="003C05C8">
              <w:rPr>
                <w:rFonts w:hint="eastAsia"/>
              </w:rPr>
              <w:t>34</w:t>
            </w:r>
          </w:hyperlink>
        </w:p>
        <w:p w14:paraId="52A6982C" w14:textId="6E262F01" w:rsidR="00203670" w:rsidRDefault="003E3946">
          <w:pPr>
            <w:pStyle w:val="TOC3"/>
            <w:tabs>
              <w:tab w:val="right" w:leader="dot" w:pos="8306"/>
            </w:tabs>
          </w:pPr>
          <w:hyperlink w:anchor="_Toc27132" w:history="1">
            <w:r>
              <w:rPr>
                <w:rFonts w:ascii="楷体" w:eastAsia="楷体" w:hAnsi="楷体" w:cs="楷体" w:hint="eastAsia"/>
              </w:rPr>
              <w:t>2.推动监管模式从“事后处罚”向“事前预防”转变</w:t>
            </w:r>
            <w:r>
              <w:tab/>
            </w:r>
          </w:hyperlink>
          <w:r w:rsidR="00AB4C4C">
            <w:rPr>
              <w:rFonts w:hint="eastAsia"/>
            </w:rPr>
            <w:t>3</w:t>
          </w:r>
          <w:r w:rsidR="00565A05">
            <w:t>5</w:t>
          </w:r>
        </w:p>
        <w:p w14:paraId="5C28C399" w14:textId="1BC251E1" w:rsidR="00203670" w:rsidRDefault="003E3946">
          <w:pPr>
            <w:pStyle w:val="TOC3"/>
            <w:tabs>
              <w:tab w:val="right" w:leader="dot" w:pos="8306"/>
            </w:tabs>
          </w:pPr>
          <w:hyperlink w:anchor="_Toc11387" w:history="1">
            <w:r>
              <w:rPr>
                <w:rFonts w:ascii="楷体" w:eastAsia="楷体" w:hAnsi="楷体" w:cs="楷体" w:hint="eastAsia"/>
              </w:rPr>
              <w:t>3.建立制度性、动态性的激励约束机制</w:t>
            </w:r>
            <w:r>
              <w:tab/>
            </w:r>
            <w:r>
              <w:fldChar w:fldCharType="begin"/>
            </w:r>
            <w:r>
              <w:instrText xml:space="preserve"> PAGEREF _Toc11387 \h </w:instrText>
            </w:r>
            <w:r>
              <w:fldChar w:fldCharType="separate"/>
            </w:r>
            <w:r w:rsidR="007A3A8C">
              <w:rPr>
                <w:noProof/>
              </w:rPr>
              <w:t>36</w:t>
            </w:r>
            <w:r>
              <w:fldChar w:fldCharType="end"/>
            </w:r>
          </w:hyperlink>
        </w:p>
        <w:p w14:paraId="22E4B739" w14:textId="0F0A4977" w:rsidR="00203670" w:rsidRDefault="003E3946">
          <w:pPr>
            <w:pStyle w:val="TOC2"/>
            <w:tabs>
              <w:tab w:val="right" w:leader="dot" w:pos="8306"/>
            </w:tabs>
          </w:pPr>
          <w:hyperlink w:anchor="_Toc23994" w:history="1">
            <w:r>
              <w:rPr>
                <w:rFonts w:ascii="楷体" w:eastAsia="楷体" w:hAnsi="楷体" w:cs="楷体" w:hint="eastAsia"/>
                <w:bCs/>
              </w:rPr>
              <w:t>（三）科学设定“较大数额”的行业标准</w:t>
            </w:r>
            <w:r>
              <w:tab/>
            </w:r>
            <w:r>
              <w:fldChar w:fldCharType="begin"/>
            </w:r>
            <w:r>
              <w:instrText xml:space="preserve"> PAGEREF _Toc23994 \h </w:instrText>
            </w:r>
            <w:r>
              <w:fldChar w:fldCharType="separate"/>
            </w:r>
            <w:r w:rsidR="007A3A8C">
              <w:rPr>
                <w:noProof/>
              </w:rPr>
              <w:t>37</w:t>
            </w:r>
            <w:r>
              <w:fldChar w:fldCharType="end"/>
            </w:r>
          </w:hyperlink>
        </w:p>
        <w:p w14:paraId="3B55DC1A" w14:textId="5E3C09D6" w:rsidR="00203670" w:rsidRDefault="003E3946">
          <w:pPr>
            <w:pStyle w:val="TOC3"/>
            <w:tabs>
              <w:tab w:val="right" w:leader="dot" w:pos="8306"/>
            </w:tabs>
          </w:pPr>
          <w:hyperlink w:anchor="_Toc31799" w:history="1">
            <w:r>
              <w:rPr>
                <w:rFonts w:ascii="楷体" w:eastAsia="楷体" w:hAnsi="楷体" w:cs="楷体" w:hint="eastAsia"/>
              </w:rPr>
              <w:t>1.遵循过罚相当原则</w:t>
            </w:r>
            <w:r>
              <w:tab/>
            </w:r>
            <w:r>
              <w:fldChar w:fldCharType="begin"/>
            </w:r>
            <w:r>
              <w:instrText xml:space="preserve"> PAGEREF _Toc31799 \h </w:instrText>
            </w:r>
            <w:r>
              <w:fldChar w:fldCharType="separate"/>
            </w:r>
            <w:r w:rsidR="007A3A8C">
              <w:rPr>
                <w:noProof/>
              </w:rPr>
              <w:t>37</w:t>
            </w:r>
            <w:r>
              <w:fldChar w:fldCharType="end"/>
            </w:r>
          </w:hyperlink>
        </w:p>
        <w:p w14:paraId="67E9957A" w14:textId="2BA5DB3C" w:rsidR="00203670" w:rsidRDefault="003E3946">
          <w:pPr>
            <w:pStyle w:val="TOC3"/>
            <w:tabs>
              <w:tab w:val="right" w:leader="dot" w:pos="8306"/>
            </w:tabs>
          </w:pPr>
          <w:hyperlink w:anchor="_Toc29889" w:history="1">
            <w:r>
              <w:rPr>
                <w:rFonts w:ascii="楷体" w:eastAsia="楷体" w:hAnsi="楷体" w:cs="楷体" w:hint="eastAsia"/>
              </w:rPr>
              <w:t>2.契合审计行业特点</w:t>
            </w:r>
            <w:r>
              <w:tab/>
            </w:r>
            <w:r>
              <w:fldChar w:fldCharType="begin"/>
            </w:r>
            <w:r>
              <w:instrText xml:space="preserve"> PAGEREF _Toc29889 \h </w:instrText>
            </w:r>
            <w:r>
              <w:fldChar w:fldCharType="separate"/>
            </w:r>
            <w:r w:rsidR="007A3A8C">
              <w:rPr>
                <w:noProof/>
              </w:rPr>
              <w:t>38</w:t>
            </w:r>
            <w:r>
              <w:fldChar w:fldCharType="end"/>
            </w:r>
          </w:hyperlink>
        </w:p>
        <w:p w14:paraId="071866D4" w14:textId="4A066DFE" w:rsidR="00203670" w:rsidRDefault="003E3946">
          <w:pPr>
            <w:pStyle w:val="TOC3"/>
            <w:tabs>
              <w:tab w:val="right" w:leader="dot" w:pos="8306"/>
            </w:tabs>
          </w:pPr>
          <w:hyperlink w:anchor="_Toc3859" w:history="1">
            <w:r>
              <w:rPr>
                <w:rFonts w:ascii="楷体" w:eastAsia="楷体" w:hAnsi="楷体" w:cs="楷体" w:hint="eastAsia"/>
              </w:rPr>
              <w:t>3.具体建议</w:t>
            </w:r>
            <w:r>
              <w:tab/>
            </w:r>
            <w:r>
              <w:fldChar w:fldCharType="begin"/>
            </w:r>
            <w:r>
              <w:instrText xml:space="preserve"> PAGEREF _Toc3859 \h </w:instrText>
            </w:r>
            <w:r>
              <w:fldChar w:fldCharType="separate"/>
            </w:r>
            <w:r w:rsidR="007A3A8C">
              <w:rPr>
                <w:noProof/>
              </w:rPr>
              <w:t>38</w:t>
            </w:r>
            <w:r>
              <w:fldChar w:fldCharType="end"/>
            </w:r>
          </w:hyperlink>
        </w:p>
        <w:p w14:paraId="4E2D9002" w14:textId="3E9F60E0" w:rsidR="00203670" w:rsidRDefault="003E3946">
          <w:pPr>
            <w:pStyle w:val="TOC2"/>
            <w:tabs>
              <w:tab w:val="right" w:leader="dot" w:pos="8306"/>
            </w:tabs>
          </w:pPr>
          <w:hyperlink w:anchor="_Toc29815" w:history="1">
            <w:r>
              <w:rPr>
                <w:rFonts w:ascii="楷体" w:eastAsia="楷体" w:hAnsi="楷体" w:cs="楷体" w:hint="eastAsia"/>
                <w:bCs/>
              </w:rPr>
              <w:t>（四）完善资格罚的适用机制</w:t>
            </w:r>
            <w:r>
              <w:tab/>
            </w:r>
            <w:r>
              <w:fldChar w:fldCharType="begin"/>
            </w:r>
            <w:r>
              <w:instrText xml:space="preserve"> PAGEREF _Toc29815 \h </w:instrText>
            </w:r>
            <w:r>
              <w:fldChar w:fldCharType="separate"/>
            </w:r>
            <w:r w:rsidR="007A3A8C">
              <w:rPr>
                <w:noProof/>
              </w:rPr>
              <w:t>39</w:t>
            </w:r>
            <w:r>
              <w:fldChar w:fldCharType="end"/>
            </w:r>
          </w:hyperlink>
        </w:p>
        <w:p w14:paraId="44FA7105" w14:textId="5499C5DB" w:rsidR="00203670" w:rsidRDefault="003E3946">
          <w:pPr>
            <w:pStyle w:val="TOC3"/>
            <w:tabs>
              <w:tab w:val="right" w:leader="dot" w:pos="8306"/>
            </w:tabs>
          </w:pPr>
          <w:hyperlink w:anchor="_Toc9904" w:history="1">
            <w:r>
              <w:rPr>
                <w:rFonts w:ascii="楷体" w:eastAsia="楷体" w:hAnsi="楷体" w:cs="楷体" w:hint="eastAsia"/>
              </w:rPr>
              <w:t>1.设定裁量基准与适用标准</w:t>
            </w:r>
            <w:r>
              <w:tab/>
            </w:r>
            <w:r>
              <w:fldChar w:fldCharType="begin"/>
            </w:r>
            <w:r>
              <w:instrText xml:space="preserve"> PAGEREF _Toc9904 \h </w:instrText>
            </w:r>
            <w:r>
              <w:fldChar w:fldCharType="separate"/>
            </w:r>
            <w:r w:rsidR="007A3A8C">
              <w:rPr>
                <w:noProof/>
              </w:rPr>
              <w:t>39</w:t>
            </w:r>
            <w:r>
              <w:fldChar w:fldCharType="end"/>
            </w:r>
          </w:hyperlink>
        </w:p>
        <w:p w14:paraId="56CEB3EB" w14:textId="34301077" w:rsidR="00203670" w:rsidRDefault="003E3946">
          <w:pPr>
            <w:pStyle w:val="TOC3"/>
            <w:tabs>
              <w:tab w:val="right" w:leader="dot" w:pos="8306"/>
            </w:tabs>
          </w:pPr>
          <w:hyperlink w:anchor="_Toc10888" w:history="1">
            <w:r>
              <w:rPr>
                <w:rFonts w:ascii="楷体" w:eastAsia="楷体" w:hAnsi="楷体" w:cs="楷体" w:hint="eastAsia"/>
              </w:rPr>
              <w:t>2.建立处罚前的评估机制</w:t>
            </w:r>
            <w:r>
              <w:tab/>
            </w:r>
            <w:r>
              <w:fldChar w:fldCharType="begin"/>
            </w:r>
            <w:r>
              <w:instrText xml:space="preserve"> PAGEREF _Toc10888 \h </w:instrText>
            </w:r>
            <w:r>
              <w:fldChar w:fldCharType="separate"/>
            </w:r>
            <w:r w:rsidR="007A3A8C">
              <w:rPr>
                <w:noProof/>
              </w:rPr>
              <w:t>41</w:t>
            </w:r>
            <w:r>
              <w:fldChar w:fldCharType="end"/>
            </w:r>
          </w:hyperlink>
        </w:p>
        <w:p w14:paraId="52D915D0" w14:textId="699EBCFE" w:rsidR="00203670" w:rsidRDefault="003E3946">
          <w:pPr>
            <w:pStyle w:val="TOC3"/>
            <w:tabs>
              <w:tab w:val="right" w:leader="dot" w:pos="8306"/>
            </w:tabs>
          </w:pPr>
          <w:hyperlink w:anchor="_Toc19048" w:history="1">
            <w:r>
              <w:rPr>
                <w:rFonts w:ascii="楷体" w:eastAsia="楷体" w:hAnsi="楷体" w:cs="楷体" w:hint="eastAsia"/>
              </w:rPr>
              <w:t>3.负责人集体讨论机制</w:t>
            </w:r>
            <w:r>
              <w:tab/>
            </w:r>
            <w:r>
              <w:fldChar w:fldCharType="begin"/>
            </w:r>
            <w:r>
              <w:instrText xml:space="preserve"> PAGEREF _Toc19048 \h </w:instrText>
            </w:r>
            <w:r>
              <w:fldChar w:fldCharType="separate"/>
            </w:r>
            <w:r w:rsidR="007A3A8C">
              <w:rPr>
                <w:noProof/>
              </w:rPr>
              <w:t>41</w:t>
            </w:r>
            <w:r>
              <w:fldChar w:fldCharType="end"/>
            </w:r>
          </w:hyperlink>
        </w:p>
        <w:p w14:paraId="6D26A56D" w14:textId="77777777" w:rsidR="00203670" w:rsidRDefault="00203670">
          <w:pPr>
            <w:rPr>
              <w:rFonts w:ascii="宋体" w:eastAsia="宋体" w:hAnsi="宋体" w:cs="宋体" w:hint="eastAsia"/>
              <w:kern w:val="0"/>
              <w:szCs w:val="28"/>
            </w:rPr>
            <w:sectPr w:rsidR="0020367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425"/>
              <w:docGrid w:type="lines" w:linePitch="312"/>
            </w:sectPr>
          </w:pPr>
        </w:p>
        <w:p w14:paraId="7EA530C4" w14:textId="77777777" w:rsidR="00203670" w:rsidRDefault="003E3946">
          <w:pPr>
            <w:rPr>
              <w:rFonts w:ascii="宋体" w:eastAsia="宋体" w:hAnsi="宋体" w:cs="宋体" w:hint="eastAsia"/>
              <w:kern w:val="0"/>
              <w:sz w:val="28"/>
              <w:szCs w:val="28"/>
            </w:rPr>
          </w:pPr>
          <w:r>
            <w:rPr>
              <w:rFonts w:ascii="宋体" w:eastAsia="宋体" w:hAnsi="宋体" w:cs="宋体" w:hint="eastAsia"/>
              <w:kern w:val="0"/>
              <w:szCs w:val="28"/>
            </w:rPr>
            <w:lastRenderedPageBreak/>
            <w:fldChar w:fldCharType="end"/>
          </w:r>
        </w:p>
      </w:sdtContent>
    </w:sdt>
    <w:p w14:paraId="224CDE3E" w14:textId="62F20B45" w:rsidR="00203670" w:rsidRDefault="003E3946">
      <w:pPr>
        <w:spacing w:line="560" w:lineRule="exact"/>
        <w:ind w:firstLineChars="200" w:firstLine="640"/>
        <w:rPr>
          <w:rFonts w:ascii="仿宋" w:eastAsia="仿宋" w:hAnsi="仿宋" w:cs="黑体" w:hint="eastAsia"/>
          <w:b/>
          <w:bCs/>
          <w:sz w:val="32"/>
          <w:szCs w:val="32"/>
        </w:rPr>
      </w:pPr>
      <w:r>
        <w:rPr>
          <w:rFonts w:ascii="仿宋" w:eastAsia="仿宋" w:hAnsi="仿宋" w:hint="eastAsia"/>
          <w:sz w:val="32"/>
          <w:szCs w:val="32"/>
        </w:rPr>
        <w:t>近年来，监管部门对会计师事务所（以下简称事务所）的监管处罚趋多趋严，对进一步压实事务所等中介机构的“看门人”责任、切实提高审计质量起到了很大的作用，这也是持续加强资本市场法治建设的必然要求。但与此同时，监管执法高质量发展的要求亦更为迫切。一方面，传统监管处罚（主要指警告、罚款以及暂停或禁止业务等资格罚）不仅仅具有行政法效果，还具有对事务所民事责任的传导效应、业务开展的延伸效应、执业经营的剥夺效应等，容易导致事务所</w:t>
      </w:r>
      <w:proofErr w:type="gramStart"/>
      <w:r>
        <w:rPr>
          <w:rFonts w:ascii="仿宋" w:eastAsia="仿宋" w:hAnsi="仿宋" w:hint="eastAsia"/>
          <w:sz w:val="32"/>
          <w:szCs w:val="32"/>
        </w:rPr>
        <w:t>的过责失衡</w:t>
      </w:r>
      <w:proofErr w:type="gramEnd"/>
      <w:r>
        <w:rPr>
          <w:rFonts w:ascii="仿宋" w:eastAsia="仿宋" w:hAnsi="仿宋" w:hint="eastAsia"/>
          <w:sz w:val="32"/>
          <w:szCs w:val="32"/>
        </w:rPr>
        <w:t>，并在一定程度上影响资本市场的生态。另一方面，行政执法承诺制度、</w:t>
      </w:r>
      <w:r w:rsidR="00717230">
        <w:rPr>
          <w:rFonts w:ascii="仿宋" w:eastAsia="仿宋" w:hAnsi="仿宋" w:hint="eastAsia"/>
          <w:sz w:val="32"/>
          <w:szCs w:val="32"/>
        </w:rPr>
        <w:t>质量管理</w:t>
      </w:r>
      <w:r>
        <w:rPr>
          <w:rFonts w:ascii="仿宋" w:eastAsia="仿宋" w:hAnsi="仿宋" w:hint="eastAsia"/>
          <w:sz w:val="32"/>
          <w:szCs w:val="32"/>
        </w:rPr>
        <w:t>合</w:t>
      </w:r>
      <w:proofErr w:type="gramStart"/>
      <w:r>
        <w:rPr>
          <w:rFonts w:ascii="仿宋" w:eastAsia="仿宋" w:hAnsi="仿宋" w:hint="eastAsia"/>
          <w:sz w:val="32"/>
          <w:szCs w:val="32"/>
        </w:rPr>
        <w:t>规</w:t>
      </w:r>
      <w:proofErr w:type="gramEnd"/>
      <w:r>
        <w:rPr>
          <w:rFonts w:ascii="仿宋" w:eastAsia="仿宋" w:hAnsi="仿宋" w:hint="eastAsia"/>
          <w:sz w:val="32"/>
          <w:szCs w:val="32"/>
        </w:rPr>
        <w:t>建设等新兴监管</w:t>
      </w:r>
      <w:proofErr w:type="gramStart"/>
      <w:r>
        <w:rPr>
          <w:rFonts w:ascii="仿宋" w:eastAsia="仿宋" w:hAnsi="仿宋" w:hint="eastAsia"/>
          <w:sz w:val="32"/>
          <w:szCs w:val="32"/>
        </w:rPr>
        <w:t>处罚正</w:t>
      </w:r>
      <w:proofErr w:type="gramEnd"/>
      <w:r>
        <w:rPr>
          <w:rFonts w:ascii="仿宋" w:eastAsia="仿宋" w:hAnsi="仿宋" w:hint="eastAsia"/>
          <w:sz w:val="32"/>
          <w:szCs w:val="32"/>
        </w:rPr>
        <w:t>处于探索完善中，实践经验不足。基于此，本研究引入回应性法治和监管理念，聚焦涉事务所监管处罚情况，结合我国实际，提出若干制度建议，以推动行业监管的优化，促进资本市场法治建设水平的提升。</w:t>
      </w:r>
    </w:p>
    <w:p w14:paraId="79F6C0EB" w14:textId="77777777" w:rsidR="00203670" w:rsidRDefault="003E3946">
      <w:pPr>
        <w:spacing w:line="560" w:lineRule="exact"/>
        <w:ind w:firstLineChars="200" w:firstLine="640"/>
        <w:outlineLvl w:val="0"/>
        <w:rPr>
          <w:rFonts w:ascii="黑体" w:eastAsia="黑体" w:hAnsi="黑体" w:cs="黑体" w:hint="eastAsia"/>
          <w:bCs/>
          <w:sz w:val="32"/>
          <w:szCs w:val="32"/>
        </w:rPr>
      </w:pPr>
      <w:bookmarkStart w:id="10" w:name="_Toc32312"/>
      <w:r>
        <w:rPr>
          <w:rFonts w:ascii="黑体" w:eastAsia="黑体" w:hAnsi="黑体" w:cs="黑体" w:hint="eastAsia"/>
          <w:bCs/>
          <w:sz w:val="32"/>
          <w:szCs w:val="32"/>
        </w:rPr>
        <w:t>一、传统监管处罚的三大效应</w:t>
      </w:r>
      <w:bookmarkEnd w:id="10"/>
    </w:p>
    <w:p w14:paraId="0A53F3C1" w14:textId="77777777" w:rsidR="00203670" w:rsidRDefault="003E3946">
      <w:pPr>
        <w:spacing w:line="560" w:lineRule="exact"/>
        <w:ind w:firstLineChars="200" w:firstLine="640"/>
        <w:rPr>
          <w:rFonts w:ascii="仿宋" w:eastAsia="仿宋" w:hAnsi="仿宋" w:cs="楷体" w:hint="eastAsia"/>
          <w:sz w:val="32"/>
          <w:szCs w:val="32"/>
        </w:rPr>
      </w:pPr>
      <w:r>
        <w:rPr>
          <w:rFonts w:ascii="仿宋" w:eastAsia="仿宋" w:hAnsi="仿宋" w:hint="eastAsia"/>
          <w:sz w:val="32"/>
          <w:szCs w:val="32"/>
        </w:rPr>
        <w:t>在传统监管处罚体系中，警告属于声誉罚，罚款属于经济罚，暂停或禁止业务属于资格罚，根据不同的违法情形，三者处罚相对独立适用，且处罚强度依次递增。但从更广阔的领域法视角看，传统监管处罚已不局限于行政处罚本身，而是具有了溢出效应，包括对民事责任的传导效应、对业务开展的延伸效应、对执业经营的剥夺效应等。</w:t>
      </w:r>
    </w:p>
    <w:p w14:paraId="51BAFAAB" w14:textId="77777777" w:rsidR="00203670" w:rsidRDefault="003E3946">
      <w:pPr>
        <w:spacing w:line="560" w:lineRule="exact"/>
        <w:ind w:firstLineChars="200" w:firstLine="640"/>
        <w:outlineLvl w:val="1"/>
        <w:rPr>
          <w:rFonts w:ascii="楷体" w:eastAsia="楷体" w:hAnsi="楷体" w:cs="楷体" w:hint="eastAsia"/>
          <w:bCs/>
          <w:sz w:val="32"/>
          <w:szCs w:val="32"/>
        </w:rPr>
      </w:pPr>
      <w:bookmarkStart w:id="11" w:name="_Toc27683"/>
      <w:r>
        <w:rPr>
          <w:rFonts w:ascii="楷体" w:eastAsia="楷体" w:hAnsi="楷体" w:cs="楷体" w:hint="eastAsia"/>
          <w:bCs/>
          <w:sz w:val="32"/>
          <w:szCs w:val="32"/>
        </w:rPr>
        <w:t>（一）对民事责任的传导效应</w:t>
      </w:r>
      <w:bookmarkEnd w:id="11"/>
    </w:p>
    <w:p w14:paraId="0D2F5DDF" w14:textId="77777777" w:rsidR="00203670" w:rsidRDefault="003E3946">
      <w:pPr>
        <w:spacing w:line="560" w:lineRule="exact"/>
        <w:ind w:firstLineChars="200" w:firstLine="640"/>
        <w:rPr>
          <w:rFonts w:ascii="仿宋" w:eastAsia="仿宋" w:hAnsi="仿宋" w:cs="仿宋" w:hint="eastAsia"/>
          <w:sz w:val="32"/>
          <w:szCs w:val="32"/>
        </w:rPr>
      </w:pPr>
      <w:r>
        <w:rPr>
          <w:rFonts w:ascii="仿宋" w:eastAsia="仿宋" w:hAnsi="仿宋" w:hint="eastAsia"/>
          <w:sz w:val="32"/>
          <w:szCs w:val="32"/>
        </w:rPr>
        <w:t>事务所作为资本市场的“看门人”，承担着重要的审计</w:t>
      </w:r>
      <w:r>
        <w:rPr>
          <w:rFonts w:ascii="仿宋" w:eastAsia="仿宋" w:hAnsi="仿宋" w:hint="eastAsia"/>
          <w:sz w:val="32"/>
          <w:szCs w:val="32"/>
        </w:rPr>
        <w:lastRenderedPageBreak/>
        <w:t>监督职能。近年来，监管部门对事务所等中介机构违法违规行为的监管处罚力度不断加大，通过警示函、罚款、资格限制等措施强化震慑，不仅具有行政法效果，还产生了溢出效应，引发事务所民事责任方面的传导，从而对其造成很大的压力。以康美药业特别代表人诉讼为例，证监会首先对康美药业财务造假及中介失职</w:t>
      </w:r>
      <w:proofErr w:type="gramStart"/>
      <w:r>
        <w:rPr>
          <w:rFonts w:ascii="仿宋" w:eastAsia="仿宋" w:hAnsi="仿宋" w:hint="eastAsia"/>
          <w:sz w:val="32"/>
          <w:szCs w:val="32"/>
        </w:rPr>
        <w:t>作出</w:t>
      </w:r>
      <w:proofErr w:type="gramEnd"/>
      <w:r>
        <w:rPr>
          <w:rFonts w:ascii="仿宋" w:eastAsia="仿宋" w:hAnsi="仿宋" w:hint="eastAsia"/>
          <w:sz w:val="32"/>
          <w:szCs w:val="32"/>
        </w:rPr>
        <w:t>行政处罚，继而投资者代表机构提起特别代表人诉讼。法院判令康美药业赔偿投资者 24.59亿元，并要求审计机构及相关注册会计师与公司高</w:t>
      </w:r>
      <w:proofErr w:type="gramStart"/>
      <w:r>
        <w:rPr>
          <w:rFonts w:ascii="仿宋" w:eastAsia="仿宋" w:hAnsi="仿宋" w:hint="eastAsia"/>
          <w:sz w:val="32"/>
          <w:szCs w:val="32"/>
        </w:rPr>
        <w:t>管共同</w:t>
      </w:r>
      <w:proofErr w:type="gramEnd"/>
      <w:r>
        <w:rPr>
          <w:rFonts w:ascii="仿宋" w:eastAsia="仿宋" w:hAnsi="仿宋" w:hint="eastAsia"/>
          <w:sz w:val="32"/>
          <w:szCs w:val="32"/>
        </w:rPr>
        <w:t>承担连带赔偿责任。这一判决开创了行政执法与民事赔偿的“无缝衔接”，标志着中介机构责任正式从行政层面延伸至投资者救济。</w:t>
      </w:r>
      <w:r>
        <w:rPr>
          <w:rFonts w:ascii="仿宋" w:eastAsia="仿宋" w:hAnsi="仿宋" w:cs="宋体" w:hint="eastAsia"/>
          <w:sz w:val="32"/>
          <w:szCs w:val="32"/>
          <w:vertAlign w:val="superscript"/>
        </w:rPr>
        <w:footnoteReference w:id="1"/>
      </w:r>
    </w:p>
    <w:p w14:paraId="6D30EF21" w14:textId="77777777" w:rsidR="00203670" w:rsidRDefault="003E3946">
      <w:pPr>
        <w:spacing w:line="560" w:lineRule="exact"/>
        <w:ind w:firstLineChars="200" w:firstLine="640"/>
        <w:outlineLvl w:val="2"/>
        <w:rPr>
          <w:rFonts w:ascii="仿宋" w:eastAsia="仿宋" w:hAnsi="仿宋" w:cs="楷体" w:hint="eastAsia"/>
          <w:sz w:val="32"/>
          <w:szCs w:val="32"/>
        </w:rPr>
      </w:pPr>
      <w:bookmarkStart w:id="12" w:name="_Toc32682"/>
      <w:r>
        <w:rPr>
          <w:rFonts w:ascii="仿宋" w:eastAsia="仿宋" w:hAnsi="仿宋" w:cs="楷体" w:hint="eastAsia"/>
          <w:sz w:val="32"/>
          <w:szCs w:val="32"/>
        </w:rPr>
        <w:t>1.投资者根据监管处罚决定发起集体诉讼</w:t>
      </w:r>
      <w:bookmarkEnd w:id="12"/>
    </w:p>
    <w:p w14:paraId="0952AAE5"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hint="eastAsia"/>
          <w:sz w:val="32"/>
          <w:szCs w:val="32"/>
        </w:rPr>
        <w:t>实践中，投资者往往会直接依赖警示函或行政处罚对事务所等中介机构发起证券虚假陈述诉讼的集体诉讼，从而导致事务所面临“二次打击”</w:t>
      </w:r>
      <w:r>
        <w:rPr>
          <w:rFonts w:ascii="仿宋" w:eastAsia="仿宋" w:hAnsi="仿宋" w:hint="eastAsia"/>
          <w:b/>
          <w:bCs/>
          <w:sz w:val="32"/>
          <w:szCs w:val="32"/>
        </w:rPr>
        <w:t>。</w:t>
      </w:r>
      <w:r>
        <w:rPr>
          <w:rFonts w:ascii="仿宋" w:eastAsia="仿宋" w:hAnsi="仿宋" w:hint="eastAsia"/>
          <w:sz w:val="32"/>
          <w:szCs w:val="32"/>
        </w:rPr>
        <w:t>鉴于监管措施或者行政处罚有一定程度的公信力，投资者当然愿意将其作为有力的诉讼证据，免去搜集资料、加以分析和努力证明的麻烦。</w:t>
      </w:r>
      <w:r>
        <w:rPr>
          <w:rFonts w:ascii="仿宋" w:eastAsia="仿宋" w:hAnsi="仿宋" w:cs="宋体" w:hint="eastAsia"/>
          <w:sz w:val="32"/>
          <w:szCs w:val="32"/>
        </w:rPr>
        <w:t>在大智慧案中，某事务所因未勤勉</w:t>
      </w:r>
      <w:proofErr w:type="gramStart"/>
      <w:r>
        <w:rPr>
          <w:rFonts w:ascii="仿宋" w:eastAsia="仿宋" w:hAnsi="仿宋" w:cs="宋体" w:hint="eastAsia"/>
          <w:sz w:val="32"/>
          <w:szCs w:val="32"/>
        </w:rPr>
        <w:t>尽责被</w:t>
      </w:r>
      <w:proofErr w:type="gramEnd"/>
      <w:r>
        <w:rPr>
          <w:rFonts w:ascii="仿宋" w:eastAsia="仿宋" w:hAnsi="仿宋" w:cs="宋体" w:hint="eastAsia"/>
          <w:sz w:val="32"/>
          <w:szCs w:val="32"/>
        </w:rPr>
        <w:t>证监会罚没280万元，随即在民事诉讼中，被法院判定要和上市公司一同承担投资者的损失赔偿责任，行政处罚的认定直接变成了民事责任的裁判依据，使得投资者的举证难度降低。</w:t>
      </w:r>
      <w:r>
        <w:rPr>
          <w:rFonts w:ascii="仿宋" w:eastAsia="仿宋" w:hAnsi="仿宋" w:cs="宋体" w:hint="eastAsia"/>
          <w:sz w:val="32"/>
          <w:szCs w:val="32"/>
          <w:vertAlign w:val="superscript"/>
        </w:rPr>
        <w:footnoteReference w:id="2"/>
      </w:r>
      <w:r>
        <w:rPr>
          <w:rFonts w:ascii="仿宋" w:eastAsia="仿宋" w:hAnsi="仿宋" w:cs="宋体" w:hint="eastAsia"/>
          <w:sz w:val="32"/>
          <w:szCs w:val="32"/>
        </w:rPr>
        <w:t>类似的逻辑同样出现在金亚科技案。证监会对某事务所出具虚假审计报告予以罚没360万元，投资者随后在成都中院获得支持，法院判决事务</w:t>
      </w:r>
      <w:r>
        <w:rPr>
          <w:rFonts w:ascii="仿宋" w:eastAsia="仿宋" w:hAnsi="仿宋" w:cs="宋体" w:hint="eastAsia"/>
          <w:sz w:val="32"/>
          <w:szCs w:val="32"/>
        </w:rPr>
        <w:lastRenderedPageBreak/>
        <w:t>所与金亚科技对投资者承担连带赔偿责任。该案显示，在司法实践中，监管处罚与民事索赔之间已形成“因果衔接”，并逐步演化为投资者批量化索赔的策略。</w:t>
      </w:r>
      <w:r>
        <w:rPr>
          <w:rFonts w:ascii="仿宋" w:eastAsia="仿宋" w:hAnsi="仿宋" w:cs="宋体" w:hint="eastAsia"/>
          <w:sz w:val="32"/>
          <w:szCs w:val="32"/>
          <w:vertAlign w:val="superscript"/>
        </w:rPr>
        <w:footnoteReference w:id="3"/>
      </w:r>
    </w:p>
    <w:p w14:paraId="4372C7DE" w14:textId="77777777" w:rsidR="00203670" w:rsidRDefault="003E3946">
      <w:pPr>
        <w:spacing w:line="560" w:lineRule="exact"/>
        <w:ind w:firstLineChars="200" w:firstLine="640"/>
        <w:outlineLvl w:val="2"/>
        <w:rPr>
          <w:rFonts w:ascii="仿宋" w:eastAsia="仿宋" w:hAnsi="仿宋" w:cs="楷体" w:hint="eastAsia"/>
          <w:sz w:val="32"/>
          <w:szCs w:val="32"/>
        </w:rPr>
      </w:pPr>
      <w:bookmarkStart w:id="13" w:name="_Toc29106"/>
      <w:r>
        <w:rPr>
          <w:rFonts w:ascii="仿宋" w:eastAsia="仿宋" w:hAnsi="仿宋" w:cs="楷体" w:hint="eastAsia"/>
          <w:sz w:val="32"/>
          <w:szCs w:val="32"/>
        </w:rPr>
        <w:t>2.法院高度尊重和依赖监管处罚的认定</w:t>
      </w:r>
      <w:bookmarkEnd w:id="13"/>
    </w:p>
    <w:p w14:paraId="256A5DBA"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基于司法权、行政权的边界和协调难度以及金融司法的专业性</w:t>
      </w:r>
      <w:proofErr w:type="gramStart"/>
      <w:r>
        <w:rPr>
          <w:rFonts w:ascii="仿宋" w:eastAsia="仿宋" w:hAnsi="仿宋" w:cs="宋体" w:hint="eastAsia"/>
          <w:sz w:val="32"/>
          <w:szCs w:val="32"/>
        </w:rPr>
        <w:t>考量</w:t>
      </w:r>
      <w:proofErr w:type="gramEnd"/>
      <w:r>
        <w:rPr>
          <w:rFonts w:ascii="仿宋" w:eastAsia="仿宋" w:hAnsi="仿宋" w:cs="宋体" w:hint="eastAsia"/>
          <w:sz w:val="32"/>
          <w:szCs w:val="32"/>
        </w:rPr>
        <w:t>，法院通常会高度尊重和依赖监管部门的认定，直接推定甚至认定了虚假陈述行为、主观过错的存在。代表性的案例有华泽</w:t>
      </w:r>
      <w:proofErr w:type="gramStart"/>
      <w:r>
        <w:rPr>
          <w:rFonts w:ascii="仿宋" w:eastAsia="仿宋" w:hAnsi="仿宋" w:cs="宋体" w:hint="eastAsia"/>
          <w:sz w:val="32"/>
          <w:szCs w:val="32"/>
        </w:rPr>
        <w:t>钴镍案</w:t>
      </w:r>
      <w:proofErr w:type="gramEnd"/>
      <w:r>
        <w:rPr>
          <w:rFonts w:ascii="仿宋" w:eastAsia="仿宋" w:hAnsi="仿宋" w:cs="宋体" w:hint="eastAsia"/>
          <w:sz w:val="32"/>
          <w:szCs w:val="32"/>
          <w:vertAlign w:val="superscript"/>
        </w:rPr>
        <w:footnoteReference w:id="4"/>
      </w:r>
      <w:r>
        <w:rPr>
          <w:rFonts w:ascii="仿宋" w:eastAsia="仿宋" w:hAnsi="仿宋" w:cs="宋体" w:hint="eastAsia"/>
          <w:sz w:val="32"/>
          <w:szCs w:val="32"/>
        </w:rPr>
        <w:t>，某事务所与国信证券作为中介机构，最终被四川高院认定应对投资者承担100%连带赔偿责任，理由在于中介机构“应当知道”上市公司存在虚假陈述但仍未尽职审计。五</w:t>
      </w:r>
      <w:proofErr w:type="gramStart"/>
      <w:r>
        <w:rPr>
          <w:rFonts w:ascii="仿宋" w:eastAsia="仿宋" w:hAnsi="仿宋" w:cs="宋体" w:hint="eastAsia"/>
          <w:sz w:val="32"/>
          <w:szCs w:val="32"/>
        </w:rPr>
        <w:t>洋建设</w:t>
      </w:r>
      <w:proofErr w:type="gramEnd"/>
      <w:r>
        <w:rPr>
          <w:rFonts w:ascii="仿宋" w:eastAsia="仿宋" w:hAnsi="仿宋" w:cs="宋体" w:hint="eastAsia"/>
          <w:sz w:val="32"/>
          <w:szCs w:val="32"/>
        </w:rPr>
        <w:t>案</w:t>
      </w:r>
      <w:r>
        <w:rPr>
          <w:rFonts w:ascii="仿宋" w:eastAsia="仿宋" w:hAnsi="仿宋" w:cs="宋体" w:hint="eastAsia"/>
          <w:sz w:val="32"/>
          <w:szCs w:val="32"/>
          <w:vertAlign w:val="superscript"/>
        </w:rPr>
        <w:footnoteReference w:id="5"/>
      </w:r>
      <w:r>
        <w:rPr>
          <w:rFonts w:ascii="仿宋" w:eastAsia="仿宋" w:hAnsi="仿宋" w:cs="宋体" w:hint="eastAsia"/>
          <w:sz w:val="32"/>
          <w:szCs w:val="32"/>
        </w:rPr>
        <w:t>和</w:t>
      </w:r>
      <w:proofErr w:type="gramStart"/>
      <w:r>
        <w:rPr>
          <w:rFonts w:ascii="仿宋" w:eastAsia="仿宋" w:hAnsi="仿宋" w:cs="宋体" w:hint="eastAsia"/>
          <w:sz w:val="32"/>
          <w:szCs w:val="32"/>
        </w:rPr>
        <w:t>奥瑞德案</w:t>
      </w:r>
      <w:proofErr w:type="gramEnd"/>
      <w:r>
        <w:rPr>
          <w:rFonts w:ascii="仿宋" w:eastAsia="仿宋" w:hAnsi="仿宋" w:cs="宋体" w:hint="eastAsia"/>
          <w:sz w:val="32"/>
          <w:szCs w:val="32"/>
          <w:vertAlign w:val="superscript"/>
        </w:rPr>
        <w:footnoteReference w:id="6"/>
      </w:r>
      <w:r>
        <w:rPr>
          <w:rFonts w:ascii="仿宋" w:eastAsia="仿宋" w:hAnsi="仿宋" w:cs="宋体" w:hint="eastAsia"/>
          <w:sz w:val="32"/>
          <w:szCs w:val="32"/>
        </w:rPr>
        <w:t>进一步凸显了传导效应的制度化倾向。最高人民法院在五</w:t>
      </w:r>
      <w:proofErr w:type="gramStart"/>
      <w:r>
        <w:rPr>
          <w:rFonts w:ascii="仿宋" w:eastAsia="仿宋" w:hAnsi="仿宋" w:cs="宋体" w:hint="eastAsia"/>
          <w:sz w:val="32"/>
          <w:szCs w:val="32"/>
        </w:rPr>
        <w:t>洋建设</w:t>
      </w:r>
      <w:proofErr w:type="gramEnd"/>
      <w:r>
        <w:rPr>
          <w:rFonts w:ascii="仿宋" w:eastAsia="仿宋" w:hAnsi="仿宋" w:cs="宋体" w:hint="eastAsia"/>
          <w:sz w:val="32"/>
          <w:szCs w:val="32"/>
        </w:rPr>
        <w:t>案再审中明确指出，审计机构出具虚假审计报告的事实已被行政处罚确认，法院在认定民事责任时可以直接采信这一行政认定。这意味着中介机构一旦遭遇监管处罚，其承担民事连带责任几乎成为必然结果。反过来说，在已做出监管措施或处罚的情况下，法院认定事务所勤勉尽责存在司法否定行政的风险，确认其未勤勉尽责则是一种稳妥的做法。如在（2021）京</w:t>
      </w:r>
      <w:proofErr w:type="gramStart"/>
      <w:r>
        <w:rPr>
          <w:rFonts w:ascii="仿宋" w:eastAsia="仿宋" w:hAnsi="仿宋" w:cs="宋体" w:hint="eastAsia"/>
          <w:sz w:val="32"/>
          <w:szCs w:val="32"/>
        </w:rPr>
        <w:t>民终696号</w:t>
      </w:r>
      <w:proofErr w:type="gramEnd"/>
      <w:r>
        <w:rPr>
          <w:rFonts w:ascii="仿宋" w:eastAsia="仿宋" w:hAnsi="仿宋" w:cs="宋体" w:hint="eastAsia"/>
          <w:sz w:val="32"/>
          <w:szCs w:val="32"/>
        </w:rPr>
        <w:t>一案中，法院认为：某事务所“未按照《警示函》确定的救济途径向证监会提出复议或直接提起行政诉讼，其行为可以表明某事务所形式上认可了《警示函》确定的事实”，法院由此结合《警示函》的事实认定，认定某事务所“未对案涉</w:t>
      </w:r>
      <w:r>
        <w:rPr>
          <w:rFonts w:ascii="仿宋" w:eastAsia="仿宋" w:hAnsi="仿宋" w:cs="宋体" w:hint="eastAsia"/>
          <w:sz w:val="32"/>
          <w:szCs w:val="32"/>
        </w:rPr>
        <w:lastRenderedPageBreak/>
        <w:t>现金账户函证定期存款是否被质押、用于担保或存在其他使用限制情况，也未在审计工作底稿中说明未函证理由的客观事实存在”。</w:t>
      </w:r>
    </w:p>
    <w:p w14:paraId="7C9A6662" w14:textId="77777777" w:rsidR="00203670" w:rsidRDefault="003E3946">
      <w:pPr>
        <w:spacing w:line="560" w:lineRule="exact"/>
        <w:ind w:rightChars="-27" w:right="-57" w:firstLineChars="200" w:firstLine="640"/>
        <w:rPr>
          <w:rFonts w:ascii="仿宋" w:eastAsia="仿宋" w:hAnsi="仿宋" w:hint="eastAsia"/>
          <w:sz w:val="32"/>
          <w:szCs w:val="32"/>
        </w:rPr>
      </w:pPr>
      <w:r>
        <w:rPr>
          <w:rFonts w:ascii="仿宋" w:eastAsia="仿宋" w:hAnsi="仿宋" w:cs="宋体" w:hint="eastAsia"/>
          <w:sz w:val="32"/>
          <w:szCs w:val="32"/>
        </w:rPr>
        <w:t>事实上，监管处罚与民事责任的认定并非完全一致。最高院司法解释取消行政前置程序，允许投资者不单纯依靠证券监管部门的认定而发动证券虚假陈述诉讼。这一规定旨在加大投资者保护的力度、发挥司法部门协同监管的功能，同时，也意味着民事责任的认定与监管处罚的认定具有相对的独立性。如事务所一些程序性的执业瑕疵可能会导致其被采取监管措施或处罚，但并不会必然导致虚假陈述的后果。在</w:t>
      </w:r>
      <w:r w:rsidRPr="00BC7D67">
        <w:rPr>
          <w:rFonts w:ascii="仿宋" w:eastAsia="仿宋" w:hAnsi="仿宋" w:cs="宋体" w:hint="eastAsia"/>
          <w:sz w:val="32"/>
          <w:szCs w:val="32"/>
        </w:rPr>
        <w:t>个别</w:t>
      </w:r>
      <w:r>
        <w:rPr>
          <w:rFonts w:ascii="仿宋" w:eastAsia="仿宋" w:hAnsi="仿宋" w:cs="宋体" w:hint="eastAsia"/>
          <w:sz w:val="32"/>
          <w:szCs w:val="32"/>
        </w:rPr>
        <w:t>案例中，法院表明了这一态度，但前提是法院和监管部门须就此取得共识。如</w:t>
      </w:r>
      <w:r>
        <w:rPr>
          <w:rFonts w:ascii="仿宋" w:eastAsia="仿宋" w:hAnsi="仿宋" w:hint="eastAsia"/>
          <w:sz w:val="32"/>
          <w:szCs w:val="32"/>
        </w:rPr>
        <w:t>在尔康制药案件中，某事务所虽被监管</w:t>
      </w:r>
      <w:proofErr w:type="gramStart"/>
      <w:r>
        <w:rPr>
          <w:rFonts w:ascii="仿宋" w:eastAsia="仿宋" w:hAnsi="仿宋" w:hint="eastAsia"/>
          <w:sz w:val="32"/>
          <w:szCs w:val="32"/>
        </w:rPr>
        <w:t>约谈但</w:t>
      </w:r>
      <w:proofErr w:type="gramEnd"/>
      <w:r>
        <w:rPr>
          <w:rFonts w:ascii="仿宋" w:eastAsia="仿宋" w:hAnsi="仿宋" w:hint="eastAsia"/>
          <w:sz w:val="32"/>
          <w:szCs w:val="32"/>
        </w:rPr>
        <w:t>却被认定为勤勉尽责，法院认为：“经本院向湖南证监局核实，该局在调查处理尔康制药公司虚假陈述案中，对某所的审计行为一并进行了调查，认为某所履行了必要的审计程序，保持了必要的职业谨慎，没有证据表明某所存在未勤勉尽责的情形，故没有对其立案，也没有进行处罚。”</w:t>
      </w:r>
      <w:r>
        <w:rPr>
          <w:rStyle w:val="af3"/>
          <w:rFonts w:ascii="仿宋" w:eastAsia="仿宋" w:hAnsi="仿宋" w:hint="eastAsia"/>
          <w:sz w:val="32"/>
          <w:szCs w:val="32"/>
        </w:rPr>
        <w:footnoteReference w:id="7"/>
      </w:r>
      <w:bookmarkStart w:id="14" w:name="_Toc2162"/>
      <w:r>
        <w:rPr>
          <w:rFonts w:ascii="仿宋" w:eastAsia="仿宋" w:hAnsi="仿宋" w:hint="eastAsia"/>
          <w:sz w:val="32"/>
          <w:szCs w:val="32"/>
        </w:rPr>
        <w:t xml:space="preserve">    </w:t>
      </w:r>
    </w:p>
    <w:p w14:paraId="4A56B82F" w14:textId="77777777" w:rsidR="00203670" w:rsidRDefault="003E3946">
      <w:pPr>
        <w:spacing w:line="560" w:lineRule="exact"/>
        <w:ind w:rightChars="-27" w:right="-57" w:firstLineChars="200" w:firstLine="640"/>
        <w:rPr>
          <w:rFonts w:ascii="楷体" w:eastAsia="楷体" w:hAnsi="楷体" w:cs="楷体" w:hint="eastAsia"/>
          <w:bCs/>
          <w:sz w:val="32"/>
          <w:szCs w:val="32"/>
        </w:rPr>
      </w:pPr>
      <w:r>
        <w:rPr>
          <w:rFonts w:ascii="楷体" w:eastAsia="楷体" w:hAnsi="楷体" w:cs="楷体" w:hint="eastAsia"/>
          <w:bCs/>
          <w:sz w:val="32"/>
          <w:szCs w:val="32"/>
        </w:rPr>
        <w:t>（二）对业务开展的延伸效应</w:t>
      </w:r>
      <w:bookmarkEnd w:id="14"/>
    </w:p>
    <w:p w14:paraId="7BE4C334" w14:textId="77777777" w:rsidR="00203670" w:rsidRDefault="003E3946">
      <w:pPr>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t>基于限制招投标的相关规定，行政处罚不仅具有警告、罚款的行政法效果，还延伸为一定时间内的市场准入的否决性条件。对事务所而言，它们不仅要承担经济层面的罚款，还将面临声誉上的不利影响、丧失或取消投标资格的困境，使其难以进入政府、国企采购市场。以某事务所被取消中标</w:t>
      </w:r>
      <w:proofErr w:type="gramStart"/>
      <w:r>
        <w:rPr>
          <w:rFonts w:ascii="仿宋" w:eastAsia="仿宋" w:hAnsi="仿宋" w:cs="宋体" w:hint="eastAsia"/>
          <w:color w:val="000000"/>
          <w:sz w:val="32"/>
          <w:szCs w:val="32"/>
        </w:rPr>
        <w:lastRenderedPageBreak/>
        <w:t>资格案</w:t>
      </w:r>
      <w:proofErr w:type="gramEnd"/>
      <w:r>
        <w:rPr>
          <w:rFonts w:ascii="仿宋" w:eastAsia="仿宋" w:hAnsi="仿宋" w:cs="宋体" w:hint="eastAsia"/>
          <w:color w:val="000000"/>
          <w:sz w:val="32"/>
          <w:szCs w:val="32"/>
          <w:vertAlign w:val="superscript"/>
        </w:rPr>
        <w:footnoteReference w:id="8"/>
      </w:r>
      <w:r>
        <w:rPr>
          <w:rFonts w:ascii="仿宋" w:eastAsia="仿宋" w:hAnsi="仿宋" w:cs="宋体" w:hint="eastAsia"/>
          <w:color w:val="000000"/>
          <w:sz w:val="32"/>
          <w:szCs w:val="32"/>
        </w:rPr>
        <w:t>为例，根据公布的行政处罚决定书</w:t>
      </w:r>
      <w:r>
        <w:rPr>
          <w:rFonts w:ascii="仿宋" w:eastAsia="仿宋" w:hAnsi="仿宋" w:cs="宋体" w:hint="eastAsia"/>
          <w:color w:val="000000"/>
          <w:sz w:val="32"/>
          <w:szCs w:val="32"/>
          <w:vertAlign w:val="superscript"/>
        </w:rPr>
        <w:footnoteReference w:id="9"/>
      </w:r>
      <w:r>
        <w:rPr>
          <w:rFonts w:ascii="仿宋" w:eastAsia="仿宋" w:hAnsi="仿宋" w:cs="宋体" w:hint="eastAsia"/>
          <w:color w:val="000000"/>
          <w:sz w:val="32"/>
          <w:szCs w:val="32"/>
        </w:rPr>
        <w:t>，某事务所在对日海智能公司的2020年年度审计工作里未做到勤勉尽责，被深圳证监局没收事务所业务收入2169811.24元，并且处以4339622.48元罚款。随后，河北省财政厅据此认定其不符合政府采购“无重大违法记录”的资格要求，取消了某事务所的入围资格。同时，延伸效应的不利市场影响也开始显现。</w:t>
      </w:r>
    </w:p>
    <w:p w14:paraId="1221A3D2" w14:textId="77777777" w:rsidR="00203670" w:rsidRDefault="003E3946">
      <w:pPr>
        <w:spacing w:line="560" w:lineRule="exact"/>
        <w:ind w:firstLineChars="200" w:firstLine="640"/>
        <w:outlineLvl w:val="2"/>
        <w:rPr>
          <w:rFonts w:ascii="仿宋" w:eastAsia="仿宋" w:hAnsi="仿宋" w:cs="楷体" w:hint="eastAsia"/>
          <w:sz w:val="32"/>
          <w:szCs w:val="32"/>
        </w:rPr>
      </w:pPr>
      <w:bookmarkStart w:id="15" w:name="_Toc26007"/>
      <w:r>
        <w:rPr>
          <w:rFonts w:ascii="仿宋" w:eastAsia="仿宋" w:hAnsi="仿宋" w:cs="楷体" w:hint="eastAsia"/>
          <w:sz w:val="32"/>
          <w:szCs w:val="32"/>
        </w:rPr>
        <w:t>1.对投标限制的相关规定趋严</w:t>
      </w:r>
      <w:bookmarkEnd w:id="15"/>
    </w:p>
    <w:p w14:paraId="2F966191" w14:textId="77777777" w:rsidR="00203670" w:rsidRDefault="003E3946">
      <w:pPr>
        <w:spacing w:line="560" w:lineRule="exact"/>
        <w:ind w:firstLineChars="200" w:firstLine="640"/>
        <w:rPr>
          <w:rFonts w:ascii="仿宋" w:eastAsia="仿宋" w:hAnsi="仿宋" w:cs="楷体" w:hint="eastAsia"/>
          <w:color w:val="000000"/>
          <w:sz w:val="32"/>
          <w:szCs w:val="32"/>
        </w:rPr>
      </w:pPr>
      <w:r>
        <w:rPr>
          <w:rFonts w:ascii="仿宋" w:eastAsia="仿宋" w:hAnsi="仿宋" w:cs="楷体" w:hint="eastAsia"/>
          <w:color w:val="000000"/>
          <w:sz w:val="32"/>
          <w:szCs w:val="32"/>
        </w:rPr>
        <w:t>（1）适用范围的逐步扩大</w:t>
      </w:r>
    </w:p>
    <w:p w14:paraId="3729CCF2" w14:textId="77777777" w:rsidR="00203670" w:rsidRDefault="003E3946">
      <w:pPr>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t>就对事务所进行投标限制，有法律法规予以规定。《中华人民共和国政府采购法》第二十二条第一款第五项规定，供应商参加政府采购活动应当具备条件之一是“参加政府采购活动前三年内，在经营活动中没有重大违法记录”。《中华人民共和国政府采购法实施条例》第十九条第一款明确，重大违法记录是指“供应商因违法经营受到刑事处罚或者责令停产停业、吊销许可证或者执照、较大数额罚款等行政处罚。</w:t>
      </w:r>
    </w:p>
    <w:p w14:paraId="59A82E83" w14:textId="77777777" w:rsidR="00203670" w:rsidRDefault="003E3946">
      <w:pPr>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t>以上规定主要限于政府机构，但逐步扩张到国有企业层面，</w:t>
      </w:r>
      <w:proofErr w:type="gramStart"/>
      <w:r>
        <w:rPr>
          <w:rFonts w:ascii="仿宋" w:eastAsia="仿宋" w:hAnsi="仿宋" w:cs="宋体" w:hint="eastAsia"/>
          <w:color w:val="000000"/>
          <w:sz w:val="32"/>
          <w:szCs w:val="32"/>
        </w:rPr>
        <w:t>且标准</w:t>
      </w:r>
      <w:proofErr w:type="gramEnd"/>
      <w:r>
        <w:rPr>
          <w:rFonts w:ascii="仿宋" w:eastAsia="仿宋" w:hAnsi="仿宋" w:cs="宋体" w:hint="eastAsia"/>
          <w:color w:val="000000"/>
          <w:sz w:val="32"/>
          <w:szCs w:val="32"/>
        </w:rPr>
        <w:t>有所提高。2023年3月29日，财政部印发《注册会计师行业诚信建设纲要》，《纲要》提出，行业诚信评级评价结果将作为相关政府部门、金融机构、国有企业、行业协会商会及相关市场主体进行政府采购、审计机构招标等工作的重要参考依据，并依法依规限制失信联合惩戒对象进行招标投标及政府采购。2023年5月，财政部、国务院国资</w:t>
      </w:r>
      <w:r>
        <w:rPr>
          <w:rFonts w:ascii="仿宋" w:eastAsia="仿宋" w:hAnsi="仿宋" w:cs="宋体" w:hint="eastAsia"/>
          <w:color w:val="000000"/>
          <w:sz w:val="32"/>
          <w:szCs w:val="32"/>
        </w:rPr>
        <w:lastRenderedPageBreak/>
        <w:t>委、证监会联合发布《国有企业、上市公司选聘事务所管理办法》，明确规定出现拟聘任的事务所近3年因执业质量被多次行政处罚或者多个审计项目正被立案调查等情况的，国有企业、上市公司审计委员会应当保持高度谨慎和关注。</w:t>
      </w:r>
      <w:r>
        <w:rPr>
          <w:rFonts w:ascii="仿宋" w:eastAsia="仿宋" w:hAnsi="仿宋" w:cs="宋体"/>
          <w:color w:val="000000"/>
          <w:sz w:val="32"/>
          <w:szCs w:val="32"/>
        </w:rPr>
        <w:t>2025</w:t>
      </w:r>
      <w:r>
        <w:rPr>
          <w:rFonts w:ascii="仿宋" w:eastAsia="仿宋" w:hAnsi="仿宋" w:cs="宋体" w:hint="eastAsia"/>
          <w:color w:val="000000"/>
          <w:sz w:val="32"/>
          <w:szCs w:val="32"/>
        </w:rPr>
        <w:t>年</w:t>
      </w:r>
      <w:r>
        <w:rPr>
          <w:rFonts w:ascii="仿宋" w:eastAsia="仿宋" w:hAnsi="仿宋" w:cs="宋体"/>
          <w:color w:val="000000"/>
          <w:sz w:val="32"/>
          <w:szCs w:val="32"/>
        </w:rPr>
        <w:t>，国务院国资委发布中央企业内控与合</w:t>
      </w:r>
      <w:proofErr w:type="gramStart"/>
      <w:r>
        <w:rPr>
          <w:rFonts w:ascii="仿宋" w:eastAsia="仿宋" w:hAnsi="仿宋" w:cs="宋体"/>
          <w:color w:val="000000"/>
          <w:sz w:val="32"/>
          <w:szCs w:val="32"/>
        </w:rPr>
        <w:t>规</w:t>
      </w:r>
      <w:proofErr w:type="gramEnd"/>
      <w:r>
        <w:rPr>
          <w:rFonts w:ascii="仿宋" w:eastAsia="仿宋" w:hAnsi="仿宋" w:cs="宋体"/>
          <w:color w:val="000000"/>
          <w:sz w:val="32"/>
          <w:szCs w:val="32"/>
        </w:rPr>
        <w:t>体系抽查项目招标公告</w:t>
      </w:r>
      <w:r>
        <w:rPr>
          <w:rFonts w:ascii="仿宋" w:eastAsia="仿宋" w:hAnsi="仿宋" w:cs="宋体" w:hint="eastAsia"/>
          <w:color w:val="000000"/>
          <w:sz w:val="32"/>
          <w:szCs w:val="32"/>
        </w:rPr>
        <w:t>，</w:t>
      </w:r>
      <w:r>
        <w:rPr>
          <w:rFonts w:ascii="仿宋" w:eastAsia="仿宋" w:hAnsi="仿宋" w:cs="宋体"/>
          <w:color w:val="000000"/>
          <w:sz w:val="32"/>
          <w:szCs w:val="32"/>
        </w:rPr>
        <w:t>要求投标方参加政府采购活动前三年内在经营活动中没有重大违法记录</w:t>
      </w:r>
      <w:r>
        <w:rPr>
          <w:rFonts w:ascii="仿宋" w:eastAsia="仿宋" w:hAnsi="仿宋" w:cs="宋体" w:hint="eastAsia"/>
          <w:color w:val="000000"/>
          <w:sz w:val="32"/>
          <w:szCs w:val="32"/>
        </w:rPr>
        <w:t>。而中国有色矿业集团有限公司、首都机场集团有限公司</w:t>
      </w:r>
      <w:proofErr w:type="gramStart"/>
      <w:r>
        <w:rPr>
          <w:rFonts w:ascii="仿宋" w:eastAsia="仿宋" w:hAnsi="仿宋" w:cs="宋体" w:hint="eastAsia"/>
          <w:color w:val="000000"/>
          <w:sz w:val="32"/>
          <w:szCs w:val="32"/>
        </w:rPr>
        <w:t>等央企</w:t>
      </w:r>
      <w:proofErr w:type="gramEnd"/>
      <w:r>
        <w:rPr>
          <w:rFonts w:ascii="仿宋" w:eastAsia="仿宋" w:hAnsi="仿宋" w:cs="宋体" w:hint="eastAsia"/>
          <w:color w:val="000000"/>
          <w:sz w:val="32"/>
          <w:szCs w:val="32"/>
        </w:rPr>
        <w:t>对审计项目的投标人资格则规定了更高的要求，首都机场要求投标人事务所近3年内因审计质量等问题受到警告、罚款、没收违法所得等行政处罚应少于三次。中国有色矿业集团则要求事务所近三年不得因审计质量等问题受到警告、罚款、没收违法所得等行政处罚三次（含）以上，也不得因质量问题被国资委书面警示两次（含）以上。</w:t>
      </w:r>
    </w:p>
    <w:p w14:paraId="240D4630" w14:textId="0C9D1741" w:rsidR="00203670" w:rsidRDefault="003E3946">
      <w:pPr>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t>民营企业也逐步将该规定作为标准引入。在宏</w:t>
      </w:r>
      <w:proofErr w:type="gramStart"/>
      <w:r>
        <w:rPr>
          <w:rFonts w:ascii="仿宋" w:eastAsia="仿宋" w:hAnsi="仿宋" w:cs="宋体" w:hint="eastAsia"/>
          <w:color w:val="000000"/>
          <w:sz w:val="32"/>
          <w:szCs w:val="32"/>
        </w:rPr>
        <w:t>微科技</w:t>
      </w:r>
      <w:proofErr w:type="gramEnd"/>
      <w:r>
        <w:rPr>
          <w:rFonts w:ascii="仿宋" w:eastAsia="仿宋" w:hAnsi="仿宋" w:cs="宋体" w:hint="eastAsia"/>
          <w:color w:val="000000"/>
          <w:sz w:val="32"/>
          <w:szCs w:val="32"/>
        </w:rPr>
        <w:t>招标中标或续聘基本资格中，对事务所条件及资质有所要求，其中第二项为：事务所及其项目人员不存在违反《中国注册会计师职业道德守则》对独立性要求的情形，项目合伙人、签字注册会计师和质量</w:t>
      </w:r>
      <w:r w:rsidR="00717230">
        <w:rPr>
          <w:rFonts w:ascii="仿宋" w:eastAsia="仿宋" w:hAnsi="仿宋" w:cs="宋体" w:hint="eastAsia"/>
          <w:color w:val="000000"/>
          <w:sz w:val="32"/>
          <w:szCs w:val="32"/>
        </w:rPr>
        <w:t>管理</w:t>
      </w:r>
      <w:r>
        <w:rPr>
          <w:rFonts w:ascii="仿宋" w:eastAsia="仿宋" w:hAnsi="仿宋" w:cs="宋体" w:hint="eastAsia"/>
          <w:color w:val="000000"/>
          <w:sz w:val="32"/>
          <w:szCs w:val="32"/>
        </w:rPr>
        <w:t>复核人最近三年不存在因执业行为受到刑事处罚，受到证监会及其派出机构、行业主管部门等的行政处罚、监督管理措施，受到证券交易所、行业协会等自律组织的自律监管措施、纪律处分的情况。须提供承诺书并加盖公章。由此可见，近三年无论是受到较大罚款</w:t>
      </w:r>
      <w:proofErr w:type="gramStart"/>
      <w:r>
        <w:rPr>
          <w:rFonts w:ascii="仿宋" w:eastAsia="仿宋" w:hAnsi="仿宋" w:cs="宋体" w:hint="eastAsia"/>
          <w:color w:val="000000"/>
          <w:sz w:val="32"/>
          <w:szCs w:val="32"/>
        </w:rPr>
        <w:t>亦或</w:t>
      </w:r>
      <w:proofErr w:type="gramEnd"/>
      <w:r>
        <w:rPr>
          <w:rFonts w:ascii="仿宋" w:eastAsia="仿宋" w:hAnsi="仿宋" w:cs="宋体" w:hint="eastAsia"/>
          <w:color w:val="000000"/>
          <w:sz w:val="32"/>
          <w:szCs w:val="32"/>
        </w:rPr>
        <w:t>普通行政处罚的事务所，若在这段时间内申请该公司的审</w:t>
      </w:r>
      <w:r>
        <w:rPr>
          <w:rFonts w:ascii="仿宋" w:eastAsia="仿宋" w:hAnsi="仿宋" w:cs="宋体" w:hint="eastAsia"/>
          <w:color w:val="000000"/>
          <w:sz w:val="32"/>
          <w:szCs w:val="32"/>
        </w:rPr>
        <w:lastRenderedPageBreak/>
        <w:t>计项目，均可能因不满足资格而被拒。</w:t>
      </w:r>
    </w:p>
    <w:p w14:paraId="2C4A56D0" w14:textId="77777777" w:rsidR="00203670" w:rsidRDefault="003E3946">
      <w:pPr>
        <w:spacing w:line="560" w:lineRule="exact"/>
        <w:ind w:firstLineChars="200" w:firstLine="640"/>
        <w:rPr>
          <w:rFonts w:ascii="仿宋" w:eastAsia="仿宋" w:hAnsi="仿宋" w:cs="楷体" w:hint="eastAsia"/>
          <w:b/>
          <w:bCs/>
          <w:color w:val="000000"/>
          <w:sz w:val="32"/>
          <w:szCs w:val="32"/>
        </w:rPr>
      </w:pPr>
      <w:r>
        <w:rPr>
          <w:rFonts w:ascii="仿宋" w:eastAsia="仿宋" w:hAnsi="仿宋" w:cs="楷体" w:hint="eastAsia"/>
          <w:color w:val="000000"/>
          <w:sz w:val="32"/>
          <w:szCs w:val="32"/>
        </w:rPr>
        <w:t>（2）</w:t>
      </w:r>
      <w:r>
        <w:rPr>
          <w:rFonts w:ascii="仿宋" w:eastAsia="仿宋" w:hAnsi="仿宋" w:cs="楷体" w:hint="eastAsia"/>
          <w:color w:val="000000" w:themeColor="text1"/>
          <w:sz w:val="32"/>
          <w:szCs w:val="32"/>
        </w:rPr>
        <w:t>“较大数额罚款”标准不符合行业特点</w:t>
      </w:r>
    </w:p>
    <w:p w14:paraId="3AF125F5" w14:textId="77777777" w:rsidR="00203670" w:rsidRDefault="003E3946">
      <w:pPr>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t>针对“较大数额罚款”，财政部在《关于&lt;中华人民共和国政府采购法实施条例&gt;第十九条第一款“较大数额罚款”具体适用问题的意见》</w:t>
      </w:r>
      <w:r>
        <w:rPr>
          <w:rStyle w:val="af3"/>
          <w:rFonts w:ascii="仿宋" w:eastAsia="仿宋" w:hAnsi="仿宋" w:cs="宋体" w:hint="eastAsia"/>
          <w:color w:val="000000"/>
          <w:sz w:val="32"/>
          <w:szCs w:val="32"/>
        </w:rPr>
        <w:footnoteReference w:id="10"/>
      </w:r>
      <w:r>
        <w:rPr>
          <w:rFonts w:ascii="仿宋" w:eastAsia="仿宋" w:hAnsi="仿宋" w:cs="宋体" w:hint="eastAsia"/>
          <w:color w:val="000000"/>
          <w:sz w:val="32"/>
          <w:szCs w:val="32"/>
        </w:rPr>
        <w:t>中提出：</w:t>
      </w:r>
      <w:proofErr w:type="gramStart"/>
      <w:r>
        <w:rPr>
          <w:rFonts w:ascii="仿宋" w:eastAsia="仿宋" w:hAnsi="仿宋" w:cs="宋体" w:hint="eastAsia"/>
          <w:color w:val="000000"/>
          <w:sz w:val="32"/>
          <w:szCs w:val="32"/>
        </w:rPr>
        <w:t>“</w:t>
      </w:r>
      <w:proofErr w:type="gramEnd"/>
      <w:r>
        <w:rPr>
          <w:rFonts w:ascii="仿宋" w:eastAsia="仿宋" w:hAnsi="仿宋" w:cs="宋体" w:hint="eastAsia"/>
          <w:color w:val="000000"/>
          <w:sz w:val="32"/>
          <w:szCs w:val="32"/>
        </w:rPr>
        <w:t>《中华人民共和国政府采购法实施条例》第十九条第一款规定的“较大数额罚款”认定为200万元以上的罚款，法律、行政法规以及国务院有关部门明确规定相关领域“较大数额罚款”标准高于200万元的，从其规定。</w:t>
      </w:r>
      <w:proofErr w:type="gramStart"/>
      <w:r>
        <w:rPr>
          <w:rFonts w:ascii="仿宋" w:eastAsia="仿宋" w:hAnsi="仿宋" w:cs="宋体" w:hint="eastAsia"/>
          <w:color w:val="000000"/>
          <w:sz w:val="32"/>
          <w:szCs w:val="32"/>
        </w:rPr>
        <w:t>”</w:t>
      </w:r>
      <w:proofErr w:type="gramEnd"/>
      <w:r>
        <w:rPr>
          <w:rFonts w:ascii="仿宋" w:eastAsia="仿宋" w:hAnsi="仿宋" w:cs="宋体" w:hint="eastAsia"/>
          <w:color w:val="000000"/>
          <w:sz w:val="32"/>
          <w:szCs w:val="32"/>
        </w:rPr>
        <w:t>对其他行业或事务所普通业务而言，200万元可能符合较大数额标准，进而属于重大违法记录。但对于证券业而言，事务所承接的审计业务收入通常显著高于普通的审计业务，价值金额甚至可达千万及以上。而根据《证券法》第213条的规定，事务所未勤勉尽责，所制作、出具的文件有虚假记载、误导性陈述或者重大遗漏的，可被没收业务收入并处业务收入一倍以上十倍以下的罚款。因此，</w:t>
      </w:r>
      <w:proofErr w:type="gramStart"/>
      <w:r>
        <w:rPr>
          <w:rFonts w:ascii="仿宋" w:eastAsia="仿宋" w:hAnsi="仿宋" w:cs="宋体" w:hint="eastAsia"/>
          <w:color w:val="000000"/>
          <w:sz w:val="32"/>
          <w:szCs w:val="32"/>
        </w:rPr>
        <w:t>一单证券</w:t>
      </w:r>
      <w:proofErr w:type="gramEnd"/>
      <w:r>
        <w:rPr>
          <w:rFonts w:ascii="仿宋" w:eastAsia="仿宋" w:hAnsi="仿宋" w:cs="宋体" w:hint="eastAsia"/>
          <w:color w:val="000000"/>
          <w:sz w:val="32"/>
          <w:szCs w:val="32"/>
        </w:rPr>
        <w:t>业务非常容易触及较大数额标准，而不论其审计过错的大小。即便是轻微的程序性审计瑕疵，至少也会被处以业务收入一倍的罚款，直接构成重大违法，进而限制事务所参加政府、国有企业以及部分民营企业的采购项目</w:t>
      </w:r>
      <w:r>
        <w:rPr>
          <w:rFonts w:ascii="仿宋" w:eastAsia="仿宋" w:hAnsi="仿宋" w:cs="宋体" w:hint="eastAsia"/>
          <w:b/>
          <w:bCs/>
          <w:color w:val="000000"/>
          <w:sz w:val="32"/>
          <w:szCs w:val="32"/>
        </w:rPr>
        <w:t>。</w:t>
      </w:r>
    </w:p>
    <w:p w14:paraId="5049EAEA" w14:textId="77777777" w:rsidR="00203670" w:rsidRDefault="003E3946">
      <w:pPr>
        <w:spacing w:line="560" w:lineRule="exact"/>
        <w:ind w:firstLineChars="200" w:firstLine="640"/>
        <w:outlineLvl w:val="2"/>
        <w:rPr>
          <w:rFonts w:ascii="仿宋" w:eastAsia="仿宋" w:hAnsi="仿宋" w:cs="楷体" w:hint="eastAsia"/>
          <w:sz w:val="32"/>
          <w:szCs w:val="32"/>
        </w:rPr>
      </w:pPr>
      <w:bookmarkStart w:id="16" w:name="_Toc29226"/>
      <w:r>
        <w:rPr>
          <w:rFonts w:ascii="仿宋" w:eastAsia="仿宋" w:hAnsi="仿宋" w:cs="楷体" w:hint="eastAsia"/>
          <w:sz w:val="32"/>
          <w:szCs w:val="32"/>
        </w:rPr>
        <w:t>2.不利的市场影响开始显现</w:t>
      </w:r>
      <w:bookmarkEnd w:id="16"/>
    </w:p>
    <w:p w14:paraId="3EC5F4B7" w14:textId="77777777" w:rsidR="00203670" w:rsidRDefault="003E3946">
      <w:pPr>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t>首先，延伸效应使得警告、罚款等处罚产生了变相的资格罚效果，会增加声誉负担、加速行业分化。处罚记录与取消中标的公告在公开信息披露和行业监管中广泛传播，使相</w:t>
      </w:r>
      <w:r>
        <w:rPr>
          <w:rFonts w:ascii="仿宋" w:eastAsia="仿宋" w:hAnsi="仿宋" w:cs="宋体" w:hint="eastAsia"/>
          <w:color w:val="000000"/>
          <w:sz w:val="32"/>
          <w:szCs w:val="32"/>
        </w:rPr>
        <w:lastRenderedPageBreak/>
        <w:t>关事务所可能在客户与自身间形成“风险标签”，潜在客户减少合作意愿，放大负面效应。而在这种严格的限制下，中小事务所若经常性在3年内丧失投标机会，可能对自身经营和存续产生重大影响，从而加剧行业分化。</w:t>
      </w:r>
    </w:p>
    <w:p w14:paraId="4B49E4ED" w14:textId="77777777" w:rsidR="00203670" w:rsidRDefault="003E3946">
      <w:pPr>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t>其次，产生了扭曲的市场行为。部分招标人要求事务所投标时承诺，在未来一定期限内不会被监管部门暂停有关业务资格，且不会受到暂停受理或审核申报材料的限制，否则需承担赔偿责任。这种承诺属于无法预见的事项，也超出了事务所的能力范围，给事务所带来了较大的合</w:t>
      </w:r>
      <w:proofErr w:type="gramStart"/>
      <w:r>
        <w:rPr>
          <w:rFonts w:ascii="仿宋" w:eastAsia="仿宋" w:hAnsi="仿宋" w:cs="宋体" w:hint="eastAsia"/>
          <w:color w:val="000000"/>
          <w:sz w:val="32"/>
          <w:szCs w:val="32"/>
        </w:rPr>
        <w:t>规</w:t>
      </w:r>
      <w:proofErr w:type="gramEnd"/>
      <w:r>
        <w:rPr>
          <w:rFonts w:ascii="仿宋" w:eastAsia="仿宋" w:hAnsi="仿宋" w:cs="宋体" w:hint="eastAsia"/>
          <w:color w:val="000000"/>
          <w:sz w:val="32"/>
          <w:szCs w:val="32"/>
        </w:rPr>
        <w:t>和法律风险。与正常经营的事务所相比，资质较差、内部风险较多、“不打算将来担责”的事务所则更愿意快速地</w:t>
      </w:r>
      <w:proofErr w:type="gramStart"/>
      <w:r>
        <w:rPr>
          <w:rFonts w:ascii="仿宋" w:eastAsia="仿宋" w:hAnsi="仿宋" w:cs="宋体" w:hint="eastAsia"/>
          <w:color w:val="000000"/>
          <w:sz w:val="32"/>
          <w:szCs w:val="32"/>
        </w:rPr>
        <w:t>作出</w:t>
      </w:r>
      <w:proofErr w:type="gramEnd"/>
      <w:r>
        <w:rPr>
          <w:rFonts w:ascii="仿宋" w:eastAsia="仿宋" w:hAnsi="仿宋" w:cs="宋体" w:hint="eastAsia"/>
          <w:color w:val="000000"/>
          <w:sz w:val="32"/>
          <w:szCs w:val="32"/>
        </w:rPr>
        <w:t>承诺，以此换取业务机会。在这种情况下，审计质量难以得到有效保障，也会导致“劣币驱逐良币”的负面市场效应。</w:t>
      </w:r>
    </w:p>
    <w:p w14:paraId="6CE026C5" w14:textId="77777777" w:rsidR="00203670" w:rsidRDefault="003E3946">
      <w:pPr>
        <w:spacing w:line="560" w:lineRule="exact"/>
        <w:ind w:firstLineChars="200" w:firstLine="640"/>
        <w:outlineLvl w:val="1"/>
        <w:rPr>
          <w:rFonts w:ascii="楷体" w:eastAsia="楷体" w:hAnsi="楷体" w:cs="楷体" w:hint="eastAsia"/>
          <w:bCs/>
          <w:sz w:val="32"/>
          <w:szCs w:val="32"/>
        </w:rPr>
      </w:pPr>
      <w:bookmarkStart w:id="17" w:name="_Toc2009"/>
      <w:r>
        <w:rPr>
          <w:rFonts w:ascii="楷体" w:eastAsia="楷体" w:hAnsi="楷体" w:cs="楷体" w:hint="eastAsia"/>
          <w:bCs/>
          <w:sz w:val="32"/>
          <w:szCs w:val="32"/>
        </w:rPr>
        <w:t>（三）对执业经营的剥夺效应</w:t>
      </w:r>
      <w:bookmarkEnd w:id="17"/>
    </w:p>
    <w:p w14:paraId="6E3C4920" w14:textId="77777777" w:rsidR="00203670" w:rsidRDefault="003E3946">
      <w:pPr>
        <w:spacing w:line="560" w:lineRule="exact"/>
        <w:ind w:firstLineChars="200" w:firstLine="640"/>
        <w:rPr>
          <w:rFonts w:ascii="仿宋" w:eastAsia="仿宋" w:hAnsi="仿宋" w:cs="仿宋" w:hint="eastAsia"/>
          <w:sz w:val="32"/>
          <w:szCs w:val="32"/>
        </w:rPr>
      </w:pPr>
      <w:r>
        <w:rPr>
          <w:rFonts w:ascii="仿宋" w:eastAsia="仿宋" w:hAnsi="仿宋" w:cs="宋体" w:hint="eastAsia"/>
          <w:color w:val="000000"/>
          <w:sz w:val="32"/>
          <w:szCs w:val="32"/>
        </w:rPr>
        <w:t>监管处罚对执业经营的剥夺效应主要体现在资格罚中。资格</w:t>
      </w:r>
      <w:proofErr w:type="gramStart"/>
      <w:r>
        <w:rPr>
          <w:rFonts w:ascii="仿宋" w:eastAsia="仿宋" w:hAnsi="仿宋" w:cs="宋体" w:hint="eastAsia"/>
          <w:color w:val="000000"/>
          <w:sz w:val="32"/>
          <w:szCs w:val="32"/>
        </w:rPr>
        <w:t>罚</w:t>
      </w:r>
      <w:r>
        <w:rPr>
          <w:rFonts w:ascii="仿宋" w:eastAsia="仿宋" w:hAnsi="仿宋" w:cs="宋体" w:hint="eastAsia"/>
          <w:color w:val="000000"/>
          <w:sz w:val="32"/>
          <w:szCs w:val="32"/>
          <w:lang w:eastAsia="zh"/>
        </w:rPr>
        <w:t>限制</w:t>
      </w:r>
      <w:proofErr w:type="gramEnd"/>
      <w:r>
        <w:rPr>
          <w:rFonts w:ascii="仿宋" w:eastAsia="仿宋" w:hAnsi="仿宋" w:cs="宋体" w:hint="eastAsia"/>
          <w:color w:val="000000"/>
          <w:sz w:val="32"/>
          <w:szCs w:val="32"/>
          <w:lang w:eastAsia="zh"/>
        </w:rPr>
        <w:t>的是</w:t>
      </w:r>
      <w:r>
        <w:rPr>
          <w:rFonts w:ascii="仿宋" w:eastAsia="仿宋" w:hAnsi="仿宋" w:cs="宋体" w:hint="eastAsia"/>
          <w:color w:val="000000"/>
          <w:sz w:val="32"/>
          <w:szCs w:val="32"/>
        </w:rPr>
        <w:t>事务所</w:t>
      </w:r>
      <w:r>
        <w:rPr>
          <w:rFonts w:ascii="仿宋" w:eastAsia="仿宋" w:hAnsi="仿宋" w:cs="宋体" w:hint="eastAsia"/>
          <w:color w:val="000000"/>
          <w:sz w:val="32"/>
          <w:szCs w:val="32"/>
          <w:lang w:eastAsia="zh"/>
        </w:rPr>
        <w:t>的执业资格，包括暂停执业</w:t>
      </w:r>
      <w:r>
        <w:rPr>
          <w:rFonts w:ascii="仿宋" w:eastAsia="仿宋" w:hAnsi="仿宋" w:cs="宋体" w:hint="eastAsia"/>
          <w:color w:val="000000"/>
          <w:sz w:val="32"/>
          <w:szCs w:val="32"/>
        </w:rPr>
        <w:t>、</w:t>
      </w:r>
      <w:r>
        <w:rPr>
          <w:rFonts w:ascii="仿宋" w:eastAsia="仿宋" w:hAnsi="仿宋" w:cs="宋体" w:hint="eastAsia"/>
          <w:color w:val="000000"/>
          <w:sz w:val="32"/>
          <w:szCs w:val="32"/>
          <w:lang w:eastAsia="zh"/>
        </w:rPr>
        <w:t>吊销执业许可</w:t>
      </w:r>
      <w:r>
        <w:rPr>
          <w:rFonts w:ascii="仿宋" w:eastAsia="仿宋" w:hAnsi="仿宋" w:cs="宋体" w:hint="eastAsia"/>
          <w:color w:val="000000"/>
          <w:sz w:val="32"/>
          <w:szCs w:val="32"/>
        </w:rPr>
        <w:t>。</w:t>
      </w:r>
      <w:r>
        <w:rPr>
          <w:rFonts w:ascii="仿宋" w:eastAsia="仿宋" w:hAnsi="仿宋" w:cs="宋体" w:hint="eastAsia"/>
          <w:sz w:val="32"/>
          <w:szCs w:val="32"/>
        </w:rPr>
        <w:t>与一般的罚款或警告不同，资格罚直接作用于事务所的执业根基，具有最强的制裁效力，如暂停执业剥夺了事务所一定期限的执业经营资格，而吊销执业许可相当于宣判了事务所的“死刑”。它不仅可能造成经营中断，还会通过客户、合伙人、在</w:t>
      </w:r>
      <w:proofErr w:type="gramStart"/>
      <w:r>
        <w:rPr>
          <w:rFonts w:ascii="仿宋" w:eastAsia="仿宋" w:hAnsi="仿宋" w:cs="宋体" w:hint="eastAsia"/>
          <w:sz w:val="32"/>
          <w:szCs w:val="32"/>
        </w:rPr>
        <w:t>审项目</w:t>
      </w:r>
      <w:proofErr w:type="gramEnd"/>
      <w:r>
        <w:rPr>
          <w:rFonts w:ascii="仿宋" w:eastAsia="仿宋" w:hAnsi="仿宋" w:cs="宋体" w:hint="eastAsia"/>
          <w:sz w:val="32"/>
          <w:szCs w:val="32"/>
        </w:rPr>
        <w:t>等环节引发连锁反应。近年来的典型案例显示，资格罚的影响呈现多维度扩散的特征，表现在以下几个方面。</w:t>
      </w:r>
    </w:p>
    <w:p w14:paraId="19CE50AE" w14:textId="77777777" w:rsidR="00203670" w:rsidRDefault="003E3946">
      <w:pPr>
        <w:spacing w:line="560" w:lineRule="exact"/>
        <w:ind w:firstLineChars="200" w:firstLine="640"/>
        <w:outlineLvl w:val="2"/>
        <w:rPr>
          <w:rFonts w:ascii="仿宋" w:eastAsia="仿宋" w:hAnsi="仿宋" w:cs="楷体" w:hint="eastAsia"/>
          <w:sz w:val="32"/>
          <w:szCs w:val="32"/>
        </w:rPr>
      </w:pPr>
      <w:bookmarkStart w:id="18" w:name="_Toc24135"/>
      <w:r>
        <w:rPr>
          <w:rFonts w:ascii="仿宋" w:eastAsia="仿宋" w:hAnsi="仿宋" w:cs="楷体" w:hint="eastAsia"/>
          <w:sz w:val="32"/>
          <w:szCs w:val="32"/>
        </w:rPr>
        <w:t>1.经营中断与客户流失</w:t>
      </w:r>
      <w:bookmarkEnd w:id="18"/>
    </w:p>
    <w:p w14:paraId="1AF9E706"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lastRenderedPageBreak/>
        <w:t>资格罚的首要后果就是对事务所正常经营活动的中止。这种中止并非仅仅局限于个别项目，而是对事务所的证券审计执业范围进行了全面的限制，致使其核心业务来源丧失。在事务所的收入结构里，证券审计业务一般占据着较为可观的比重，一旦该业务被暂停，事务所想要借助非证券类业务来填补缺口并非易事。</w:t>
      </w:r>
    </w:p>
    <w:p w14:paraId="0020936C"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以康得新财务造假案为例，某事务所在2019年的康得新财务造假案中，由于未能做到勤勉尽责，被中国证监会判定存在严重的执业过失，进而被暂停承接新的证券业务。这一处罚相当于切断了事务所未来数年的主要收入来源，直接导致其短时间内丧失数百家上市公司客户。更严重的是，这种客户流失并非简单的业务转移，而是伴随对事务所整体声誉的全面质疑。大量企业因被迫更换审计机构而</w:t>
      </w:r>
      <w:proofErr w:type="gramStart"/>
      <w:r>
        <w:rPr>
          <w:rFonts w:ascii="仿宋" w:eastAsia="仿宋" w:hAnsi="仿宋" w:cs="宋体" w:hint="eastAsia"/>
          <w:sz w:val="32"/>
          <w:szCs w:val="32"/>
        </w:rPr>
        <w:t>延迟财报披露</w:t>
      </w:r>
      <w:proofErr w:type="gramEnd"/>
      <w:r>
        <w:rPr>
          <w:rFonts w:ascii="仿宋" w:eastAsia="仿宋" w:hAnsi="仿宋" w:cs="宋体" w:hint="eastAsia"/>
          <w:sz w:val="32"/>
          <w:szCs w:val="32"/>
        </w:rPr>
        <w:t>、IPO进程受阻，间接拖累了其在资本市场的信用，某事务所的市场份额随之迅速萎缩，事务所几乎失去了在资本市场的主流地位。由此可见，资格罚对事务所的业务连续性构成直接威胁，往往伴随严重的客户流失与市场份额下降。</w:t>
      </w:r>
    </w:p>
    <w:p w14:paraId="7CC43939"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2024年某事务所因质量管理缺陷及违规执业被责令暂停证券业务12个月，这是</w:t>
      </w:r>
      <w:proofErr w:type="gramStart"/>
      <w:r>
        <w:rPr>
          <w:rFonts w:ascii="仿宋" w:eastAsia="仿宋" w:hAnsi="仿宋" w:cs="宋体" w:hint="eastAsia"/>
          <w:sz w:val="32"/>
          <w:szCs w:val="32"/>
        </w:rPr>
        <w:t>业内罕见</w:t>
      </w:r>
      <w:proofErr w:type="gramEnd"/>
      <w:r>
        <w:rPr>
          <w:rFonts w:ascii="仿宋" w:eastAsia="仿宋" w:hAnsi="仿宋" w:cs="宋体" w:hint="eastAsia"/>
          <w:sz w:val="32"/>
          <w:szCs w:val="32"/>
        </w:rPr>
        <w:t>的高强度资格罚。处罚公布后，至少17家上市公司迅速更换审计机构，致使合伙人与注册会计师出现了大规模的流失现象，仅剩不足百人留所，事务所存续状况岌岌可危。部分核心团队整体跳槽至新所，业务和品牌随之迁移，显示</w:t>
      </w:r>
      <w:proofErr w:type="gramStart"/>
      <w:r>
        <w:rPr>
          <w:rFonts w:ascii="仿宋" w:eastAsia="仿宋" w:hAnsi="仿宋" w:cs="宋体" w:hint="eastAsia"/>
          <w:sz w:val="32"/>
          <w:szCs w:val="32"/>
        </w:rPr>
        <w:t>出资格罚</w:t>
      </w:r>
      <w:proofErr w:type="gramEnd"/>
      <w:r>
        <w:rPr>
          <w:rFonts w:ascii="仿宋" w:eastAsia="仿宋" w:hAnsi="仿宋" w:cs="宋体" w:hint="eastAsia"/>
          <w:sz w:val="32"/>
          <w:szCs w:val="32"/>
        </w:rPr>
        <w:t>引发的“客户与团队双重流失”的典型路径。</w:t>
      </w:r>
    </w:p>
    <w:p w14:paraId="0ED4393F"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lastRenderedPageBreak/>
        <w:t>即使是国际“四大”事务所，也难以承受资格</w:t>
      </w:r>
      <w:proofErr w:type="gramStart"/>
      <w:r>
        <w:rPr>
          <w:rFonts w:ascii="仿宋" w:eastAsia="仿宋" w:hAnsi="仿宋" w:cs="宋体" w:hint="eastAsia"/>
          <w:sz w:val="32"/>
          <w:szCs w:val="32"/>
        </w:rPr>
        <w:t>罚带来</w:t>
      </w:r>
      <w:proofErr w:type="gramEnd"/>
      <w:r>
        <w:rPr>
          <w:rFonts w:ascii="仿宋" w:eastAsia="仿宋" w:hAnsi="仿宋" w:cs="宋体" w:hint="eastAsia"/>
          <w:sz w:val="32"/>
          <w:szCs w:val="32"/>
        </w:rPr>
        <w:t>的客户流失。因恒大审计问题，2024年9月财政部与证监会对某事务所处以合计4.41亿元罚款，并暂停6个月证券业务。处罚实施后，至少有60家企业终止了与该事务所的合作，其中包括36家A股公司和7家港股公司。事务所信誉严重受损，客户在短期内出现大规模流失。</w:t>
      </w:r>
    </w:p>
    <w:p w14:paraId="7EA4D936" w14:textId="77777777" w:rsidR="00203670" w:rsidRDefault="003E3946">
      <w:pPr>
        <w:spacing w:line="560" w:lineRule="exact"/>
        <w:ind w:firstLineChars="200" w:firstLine="640"/>
        <w:outlineLvl w:val="2"/>
        <w:rPr>
          <w:rFonts w:ascii="仿宋" w:eastAsia="仿宋" w:hAnsi="仿宋" w:cs="楷体" w:hint="eastAsia"/>
          <w:sz w:val="32"/>
          <w:szCs w:val="32"/>
        </w:rPr>
      </w:pPr>
      <w:bookmarkStart w:id="19" w:name="_Toc30585"/>
      <w:r>
        <w:rPr>
          <w:rFonts w:ascii="仿宋" w:eastAsia="仿宋" w:hAnsi="仿宋" w:cs="楷体" w:hint="eastAsia"/>
          <w:sz w:val="32"/>
          <w:szCs w:val="32"/>
        </w:rPr>
        <w:t>2.合伙人与员工的连锁风险</w:t>
      </w:r>
      <w:bookmarkEnd w:id="19"/>
    </w:p>
    <w:p w14:paraId="152DD6B8"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资格</w:t>
      </w:r>
      <w:proofErr w:type="gramStart"/>
      <w:r>
        <w:rPr>
          <w:rFonts w:ascii="仿宋" w:eastAsia="仿宋" w:hAnsi="仿宋" w:cs="宋体" w:hint="eastAsia"/>
          <w:sz w:val="32"/>
          <w:szCs w:val="32"/>
        </w:rPr>
        <w:t>罚不仅</w:t>
      </w:r>
      <w:proofErr w:type="gramEnd"/>
      <w:r>
        <w:rPr>
          <w:rFonts w:ascii="仿宋" w:eastAsia="仿宋" w:hAnsi="仿宋" w:cs="宋体" w:hint="eastAsia"/>
          <w:sz w:val="32"/>
          <w:szCs w:val="32"/>
        </w:rPr>
        <w:t>冲击事务所的财务状况，还通过合伙机制和就业结构产生内部连锁反应，放大了处罚的实际影响。</w:t>
      </w:r>
    </w:p>
    <w:p w14:paraId="1A930C1D"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一方面，事务所的合伙制决定了其经营风险会在合伙人之间分摊，而资格罚打破了这种风险均衡。一旦证券业务被暂停，事务所收入锐减，合伙人分红立即减少甚至归零，直接动摇了合伙关系的稳定性。如某事务所行政处罚案提供了鲜明的佐证。除业务暂停外，其广州分所被撤销，多名合伙人被解聘，2025年初披露的数据显示，该事务所中国合伙人数量</w:t>
      </w:r>
      <w:proofErr w:type="gramStart"/>
      <w:r>
        <w:rPr>
          <w:rFonts w:ascii="仿宋" w:eastAsia="仿宋" w:hAnsi="仿宋" w:cs="宋体" w:hint="eastAsia"/>
          <w:sz w:val="32"/>
          <w:szCs w:val="32"/>
        </w:rPr>
        <w:t>较处罚</w:t>
      </w:r>
      <w:proofErr w:type="gramEnd"/>
      <w:r>
        <w:rPr>
          <w:rFonts w:ascii="仿宋" w:eastAsia="仿宋" w:hAnsi="仿宋" w:cs="宋体" w:hint="eastAsia"/>
          <w:sz w:val="32"/>
          <w:szCs w:val="32"/>
        </w:rPr>
        <w:t>前至少减少20%。人员溢出效应使事务所内部结构受损，而部分合伙人与员工跳槽至其他事务所或独立创业，进一步削弱了事务所的稳定性。在宏图高科案中，某事务所因证券业务违规被暂停6个月，合伙人数量减少7人，注册会计师减少26人，未注册会计师减少近百人，表明中型事务所在面临资格罚时，其人力结构更为脆弱，抗风险能力显著不足。</w:t>
      </w:r>
    </w:p>
    <w:p w14:paraId="16448204"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另一方面，资格</w:t>
      </w:r>
      <w:proofErr w:type="gramStart"/>
      <w:r>
        <w:rPr>
          <w:rFonts w:ascii="仿宋" w:eastAsia="仿宋" w:hAnsi="仿宋" w:cs="宋体" w:hint="eastAsia"/>
          <w:sz w:val="32"/>
          <w:szCs w:val="32"/>
        </w:rPr>
        <w:t>罚同样</w:t>
      </w:r>
      <w:proofErr w:type="gramEnd"/>
      <w:r>
        <w:rPr>
          <w:rFonts w:ascii="仿宋" w:eastAsia="仿宋" w:hAnsi="仿宋" w:cs="宋体" w:hint="eastAsia"/>
          <w:sz w:val="32"/>
          <w:szCs w:val="32"/>
        </w:rPr>
        <w:t>会波及普通员工。如某事务所则在连续受到处罚后，被迫退出部分证券审计业务。失去大项</w:t>
      </w:r>
      <w:r>
        <w:rPr>
          <w:rFonts w:ascii="仿宋" w:eastAsia="仿宋" w:hAnsi="仿宋" w:cs="宋体" w:hint="eastAsia"/>
          <w:sz w:val="32"/>
          <w:szCs w:val="32"/>
        </w:rPr>
        <w:lastRenderedPageBreak/>
        <w:t>目储备后，基层员工陷入“无活可做”的困境，纷纷转投其他事务所或离开审计行业。</w:t>
      </w:r>
    </w:p>
    <w:p w14:paraId="5D3C7FE2" w14:textId="77777777" w:rsidR="00203670" w:rsidRDefault="003E3946">
      <w:pPr>
        <w:spacing w:line="560" w:lineRule="exact"/>
        <w:ind w:firstLineChars="200" w:firstLine="640"/>
        <w:outlineLvl w:val="2"/>
        <w:rPr>
          <w:rFonts w:ascii="仿宋" w:eastAsia="仿宋" w:hAnsi="仿宋" w:cs="楷体" w:hint="eastAsia"/>
          <w:color w:val="000000" w:themeColor="text1"/>
          <w:sz w:val="32"/>
          <w:szCs w:val="32"/>
        </w:rPr>
      </w:pPr>
      <w:bookmarkStart w:id="20" w:name="_Toc28063"/>
      <w:r>
        <w:rPr>
          <w:rFonts w:ascii="仿宋" w:eastAsia="仿宋" w:hAnsi="仿宋" w:cs="楷体" w:hint="eastAsia"/>
          <w:color w:val="000000" w:themeColor="text1"/>
          <w:sz w:val="32"/>
          <w:szCs w:val="32"/>
        </w:rPr>
        <w:t>3.在</w:t>
      </w:r>
      <w:proofErr w:type="gramStart"/>
      <w:r>
        <w:rPr>
          <w:rFonts w:ascii="仿宋" w:eastAsia="仿宋" w:hAnsi="仿宋" w:cs="楷体" w:hint="eastAsia"/>
          <w:color w:val="000000" w:themeColor="text1"/>
          <w:sz w:val="32"/>
          <w:szCs w:val="32"/>
        </w:rPr>
        <w:t>审项目</w:t>
      </w:r>
      <w:proofErr w:type="gramEnd"/>
      <w:r>
        <w:rPr>
          <w:rFonts w:ascii="仿宋" w:eastAsia="仿宋" w:hAnsi="仿宋" w:cs="楷体" w:hint="eastAsia"/>
          <w:color w:val="000000" w:themeColor="text1"/>
          <w:sz w:val="32"/>
          <w:szCs w:val="32"/>
        </w:rPr>
        <w:t>的违约成本</w:t>
      </w:r>
      <w:bookmarkEnd w:id="20"/>
    </w:p>
    <w:p w14:paraId="7502F649"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在现行监管实践中，针对事务所施行暂停执业这类重大处罚大多时候会引发较大的外溢性效应，其后果主要呈现为两种情形：其一，众多正在审计的项目不得不中途更换事务所，使得发行人的审计成本增加以及融资进程出现延误，例如康得新案件中，某事务所被暂停证券业务之后，其数十个IPO和再融资项目全部陷入停滞状态，发行人不得不紧急另聘审计机构。其二，部分客户直接向事务所提起索赔诉讼，要求赔偿因为审计业务无法继续开展或者财务信息披露延迟而产生的损失，比如在奥瑞</w:t>
      </w:r>
      <w:proofErr w:type="gramStart"/>
      <w:r>
        <w:rPr>
          <w:rFonts w:ascii="仿宋" w:eastAsia="仿宋" w:hAnsi="仿宋" w:cs="宋体" w:hint="eastAsia"/>
          <w:sz w:val="32"/>
          <w:szCs w:val="32"/>
        </w:rPr>
        <w:t>德案件</w:t>
      </w:r>
      <w:proofErr w:type="gramEnd"/>
      <w:r>
        <w:rPr>
          <w:rFonts w:ascii="仿宋" w:eastAsia="仿宋" w:hAnsi="仿宋" w:cs="宋体" w:hint="eastAsia"/>
          <w:sz w:val="32"/>
          <w:szCs w:val="32"/>
        </w:rPr>
        <w:t>之后，某事务所出现了多起相关诉讼。这些现象表明，监管处罚虽能发挥震慑作用，但其引发的连锁反应不仅增加市场主体的制度性成本，也对资本市场运行秩序造成一定冲击。</w:t>
      </w:r>
    </w:p>
    <w:p w14:paraId="0DAF5206" w14:textId="77777777" w:rsidR="00203670" w:rsidRDefault="003E3946">
      <w:pPr>
        <w:spacing w:line="560" w:lineRule="exact"/>
        <w:ind w:firstLineChars="200" w:firstLine="640"/>
        <w:outlineLvl w:val="2"/>
        <w:rPr>
          <w:rFonts w:ascii="仿宋" w:eastAsia="仿宋" w:hAnsi="仿宋" w:cs="楷体" w:hint="eastAsia"/>
          <w:sz w:val="32"/>
          <w:szCs w:val="32"/>
        </w:rPr>
      </w:pPr>
      <w:bookmarkStart w:id="21" w:name="_Toc16491"/>
      <w:r>
        <w:rPr>
          <w:rFonts w:ascii="仿宋" w:eastAsia="仿宋" w:hAnsi="仿宋" w:cs="楷体" w:hint="eastAsia"/>
          <w:sz w:val="32"/>
          <w:szCs w:val="32"/>
        </w:rPr>
        <w:t>4.信用与市场准入的持续负面记录</w:t>
      </w:r>
      <w:bookmarkEnd w:id="21"/>
    </w:p>
    <w:p w14:paraId="19EA5B44"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资格</w:t>
      </w:r>
      <w:proofErr w:type="gramStart"/>
      <w:r>
        <w:rPr>
          <w:rFonts w:ascii="仿宋" w:eastAsia="仿宋" w:hAnsi="仿宋" w:cs="宋体" w:hint="eastAsia"/>
          <w:sz w:val="32"/>
          <w:szCs w:val="32"/>
        </w:rPr>
        <w:t>罚往往</w:t>
      </w:r>
      <w:proofErr w:type="gramEnd"/>
      <w:r>
        <w:rPr>
          <w:rFonts w:ascii="仿宋" w:eastAsia="仿宋" w:hAnsi="仿宋" w:cs="宋体" w:hint="eastAsia"/>
          <w:sz w:val="32"/>
          <w:szCs w:val="32"/>
        </w:rPr>
        <w:t>伴随信用档案的记录和公开通报，其后果并不会随着处罚期限届满而立即消除，而是长期存在于事务所的“信用污点”中。这种污点影响其未来进入资本市场、政府项目和国有企业审计项目的机会。以某事务所为例，其多次受到行政处罚并被监管部门公开通报后，被正式列入资本市场诚信档案。在此背景下，该事务所在地方政府、国企及金融机构的招投标活动中屡屡遭遇限制，即便个别处罚期限届满，信用污点依旧成为其难以恢复市场份额的重要障碍。</w:t>
      </w:r>
    </w:p>
    <w:p w14:paraId="4EBC0430" w14:textId="77777777" w:rsidR="00203670" w:rsidRDefault="003E3946">
      <w:pPr>
        <w:spacing w:line="560" w:lineRule="exact"/>
        <w:ind w:firstLineChars="200" w:firstLine="640"/>
        <w:outlineLvl w:val="0"/>
        <w:rPr>
          <w:rFonts w:ascii="黑体" w:eastAsia="黑体" w:hAnsi="黑体" w:cs="黑体" w:hint="eastAsia"/>
          <w:bCs/>
          <w:sz w:val="32"/>
          <w:szCs w:val="32"/>
        </w:rPr>
      </w:pPr>
      <w:bookmarkStart w:id="22" w:name="_Toc30977"/>
      <w:r>
        <w:rPr>
          <w:rFonts w:ascii="黑体" w:eastAsia="黑体" w:hAnsi="黑体" w:cs="黑体" w:hint="eastAsia"/>
          <w:bCs/>
          <w:sz w:val="32"/>
          <w:szCs w:val="32"/>
        </w:rPr>
        <w:lastRenderedPageBreak/>
        <w:t>二、新兴监管处罚的创新发展</w:t>
      </w:r>
      <w:bookmarkEnd w:id="22"/>
    </w:p>
    <w:p w14:paraId="1DF98007"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传统监管处罚存在上述三大效应，或多或少地存在一些弊端，难以完全适应资本市场的高质量发展，积极学习借鉴国内外最佳实践，创新发展新兴监管处罚就十分重要。</w:t>
      </w:r>
    </w:p>
    <w:p w14:paraId="07B1572D" w14:textId="77777777" w:rsidR="00203670" w:rsidRDefault="003E3946">
      <w:pPr>
        <w:spacing w:line="560" w:lineRule="exact"/>
        <w:ind w:firstLineChars="200" w:firstLine="640"/>
        <w:outlineLvl w:val="1"/>
        <w:rPr>
          <w:rFonts w:ascii="楷体" w:eastAsia="楷体" w:hAnsi="楷体" w:cs="楷体" w:hint="eastAsia"/>
          <w:bCs/>
          <w:sz w:val="32"/>
          <w:szCs w:val="32"/>
        </w:rPr>
      </w:pPr>
      <w:bookmarkStart w:id="23" w:name="_Toc2622"/>
      <w:r>
        <w:rPr>
          <w:rFonts w:ascii="楷体" w:eastAsia="楷体" w:hAnsi="楷体" w:cs="楷体" w:hint="eastAsia"/>
          <w:bCs/>
          <w:sz w:val="32"/>
          <w:szCs w:val="32"/>
        </w:rPr>
        <w:t>（一）执法承诺制度的探索适用</w:t>
      </w:r>
      <w:bookmarkEnd w:id="23"/>
    </w:p>
    <w:p w14:paraId="396A0987" w14:textId="77777777" w:rsidR="00203670" w:rsidRDefault="003E3946">
      <w:pPr>
        <w:widowControl/>
        <w:numPr>
          <w:ilvl w:val="255"/>
          <w:numId w:val="0"/>
        </w:numPr>
        <w:spacing w:line="560" w:lineRule="exact"/>
        <w:ind w:firstLineChars="200" w:firstLine="640"/>
        <w:rPr>
          <w:rFonts w:ascii="仿宋" w:eastAsia="仿宋" w:hAnsi="仿宋" w:cs="宋体" w:hint="eastAsia"/>
          <w:b/>
          <w:bCs/>
          <w:color w:val="000000"/>
          <w:sz w:val="32"/>
          <w:szCs w:val="32"/>
        </w:rPr>
      </w:pPr>
      <w:r>
        <w:rPr>
          <w:rFonts w:ascii="仿宋" w:eastAsia="仿宋" w:hAnsi="仿宋" w:cs="宋体" w:hint="eastAsia"/>
          <w:sz w:val="32"/>
          <w:szCs w:val="32"/>
        </w:rPr>
        <w:t>行政执法当事人承诺制度经由2015年证券期货领域</w:t>
      </w:r>
      <w:r>
        <w:rPr>
          <w:rFonts w:ascii="仿宋" w:eastAsia="仿宋" w:hAnsi="仿宋" w:cs="宋体" w:hint="eastAsia"/>
          <w:sz w:val="32"/>
          <w:szCs w:val="32"/>
          <w:lang w:bidi="ar"/>
        </w:rPr>
        <w:t>《行政和解试点实施办法》的</w:t>
      </w:r>
      <w:r>
        <w:rPr>
          <w:rFonts w:ascii="仿宋" w:eastAsia="仿宋" w:hAnsi="仿宋" w:cs="宋体" w:hint="eastAsia"/>
          <w:sz w:val="32"/>
          <w:szCs w:val="32"/>
        </w:rPr>
        <w:t>工作实践发展而来。2021年10月，国务院颁布《证券期货行政执法当事人承诺制度实施办法》，以行政法规的方式确立当事人承诺制度。2022年1月，证监会进一步出台《证券期货行政执法当事人承诺制度实施规定》。执法承诺的目的在于推动证券监管领域内公私主体由对立走向合作，在传统行政执法理论中，维护形式法治的诉求导致行政权的</w:t>
      </w:r>
      <w:proofErr w:type="gramStart"/>
      <w:r>
        <w:rPr>
          <w:rFonts w:ascii="仿宋" w:eastAsia="仿宋" w:hAnsi="仿宋" w:cs="宋体" w:hint="eastAsia"/>
          <w:sz w:val="32"/>
          <w:szCs w:val="32"/>
        </w:rPr>
        <w:t>优益性</w:t>
      </w:r>
      <w:proofErr w:type="gramEnd"/>
      <w:r>
        <w:rPr>
          <w:rFonts w:ascii="仿宋" w:eastAsia="仿宋" w:hAnsi="仿宋" w:cs="宋体" w:hint="eastAsia"/>
          <w:sz w:val="32"/>
          <w:szCs w:val="32"/>
        </w:rPr>
        <w:t>被过度主张，具体表现为“行政权不能随意处分”“公共意志一定优于私人意志”等论断，进而激化了公权和私权的对立态势。</w:t>
      </w:r>
      <w:r>
        <w:rPr>
          <w:rFonts w:ascii="仿宋" w:eastAsia="仿宋" w:hAnsi="仿宋" w:cs="宋体" w:hint="eastAsia"/>
          <w:color w:val="000000"/>
          <w:sz w:val="32"/>
          <w:szCs w:val="32"/>
          <w:vertAlign w:val="superscript"/>
        </w:rPr>
        <w:footnoteReference w:id="11"/>
      </w:r>
      <w:r>
        <w:rPr>
          <w:rFonts w:ascii="仿宋" w:eastAsia="仿宋" w:hAnsi="仿宋" w:cs="宋体" w:hint="eastAsia"/>
          <w:color w:val="000000"/>
          <w:sz w:val="32"/>
          <w:szCs w:val="32"/>
        </w:rPr>
        <w:t>当事人承诺制度的设立，标志着我国在证券领域的行政监管模式从过往的刚性行政执法方式走向刚柔并济的治理模式。</w:t>
      </w:r>
      <w:r>
        <w:rPr>
          <w:rFonts w:ascii="仿宋" w:eastAsia="仿宋" w:hAnsi="仿宋" w:cs="宋体" w:hint="eastAsia"/>
          <w:color w:val="000000"/>
          <w:sz w:val="32"/>
          <w:szCs w:val="32"/>
          <w:vertAlign w:val="superscript"/>
        </w:rPr>
        <w:footnoteReference w:id="12"/>
      </w:r>
      <w:r>
        <w:rPr>
          <w:rFonts w:ascii="仿宋" w:eastAsia="仿宋" w:hAnsi="仿宋" w:cs="宋体" w:hint="eastAsia"/>
          <w:color w:val="000000"/>
          <w:sz w:val="32"/>
          <w:szCs w:val="32"/>
        </w:rPr>
        <w:t>执法承诺能够节省执法资源、及时赔偿投资者或恢复市场信心，也为企业换得了教育和重生的机会。但目前在证券领域，对事务所适用当事人承诺的实际案例仅两起，制度实施经验较为不足。</w:t>
      </w:r>
    </w:p>
    <w:p w14:paraId="33FC5204" w14:textId="77777777" w:rsidR="00203670" w:rsidRDefault="003E3946">
      <w:pPr>
        <w:spacing w:line="560" w:lineRule="exact"/>
        <w:ind w:firstLineChars="200" w:firstLine="640"/>
        <w:outlineLvl w:val="2"/>
        <w:rPr>
          <w:rFonts w:ascii="仿宋" w:eastAsia="仿宋" w:hAnsi="仿宋" w:cs="楷体" w:hint="eastAsia"/>
          <w:color w:val="000000"/>
          <w:sz w:val="32"/>
          <w:szCs w:val="32"/>
        </w:rPr>
      </w:pPr>
      <w:bookmarkStart w:id="24" w:name="_Toc31672"/>
      <w:r>
        <w:rPr>
          <w:rFonts w:ascii="仿宋" w:eastAsia="仿宋" w:hAnsi="仿宋" w:cs="楷体" w:hint="eastAsia"/>
          <w:color w:val="000000"/>
          <w:sz w:val="32"/>
          <w:szCs w:val="32"/>
        </w:rPr>
        <w:t>1.案例简介</w:t>
      </w:r>
      <w:bookmarkEnd w:id="24"/>
    </w:p>
    <w:p w14:paraId="71E3325A" w14:textId="77777777" w:rsidR="00203670" w:rsidRDefault="003E3946">
      <w:pPr>
        <w:spacing w:line="560" w:lineRule="exact"/>
        <w:ind w:firstLineChars="200" w:firstLine="640"/>
        <w:rPr>
          <w:rFonts w:ascii="仿宋" w:eastAsia="仿宋" w:hAnsi="仿宋" w:cs="楷体" w:hint="eastAsia"/>
          <w:color w:val="000000"/>
          <w:sz w:val="32"/>
          <w:szCs w:val="32"/>
        </w:rPr>
      </w:pPr>
      <w:r>
        <w:rPr>
          <w:rFonts w:ascii="仿宋" w:eastAsia="仿宋" w:hAnsi="仿宋" w:cs="楷体" w:hint="eastAsia"/>
          <w:color w:val="000000"/>
          <w:sz w:val="32"/>
          <w:szCs w:val="32"/>
        </w:rPr>
        <w:t>（1）紫晶存储案</w:t>
      </w:r>
    </w:p>
    <w:p w14:paraId="340F8ACD" w14:textId="77777777" w:rsidR="00203670" w:rsidRDefault="003E3946">
      <w:pPr>
        <w:spacing w:line="560" w:lineRule="exact"/>
        <w:ind w:rightChars="-94" w:right="-197"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t>2023年12月29日，中国证监会查处广东紫</w:t>
      </w:r>
      <w:proofErr w:type="gramStart"/>
      <w:r>
        <w:rPr>
          <w:rFonts w:ascii="仿宋" w:eastAsia="仿宋" w:hAnsi="仿宋" w:cs="宋体" w:hint="eastAsia"/>
          <w:color w:val="000000"/>
          <w:sz w:val="32"/>
          <w:szCs w:val="32"/>
        </w:rPr>
        <w:t>晶信息</w:t>
      </w:r>
      <w:proofErr w:type="gramEnd"/>
      <w:r>
        <w:rPr>
          <w:rFonts w:ascii="仿宋" w:eastAsia="仿宋" w:hAnsi="仿宋" w:cs="宋体" w:hint="eastAsia"/>
          <w:color w:val="000000"/>
          <w:sz w:val="32"/>
          <w:szCs w:val="32"/>
        </w:rPr>
        <w:t>存储</w:t>
      </w:r>
      <w:r>
        <w:rPr>
          <w:rFonts w:ascii="仿宋" w:eastAsia="仿宋" w:hAnsi="仿宋" w:cs="宋体" w:hint="eastAsia"/>
          <w:color w:val="000000"/>
          <w:sz w:val="32"/>
          <w:szCs w:val="32"/>
        </w:rPr>
        <w:lastRenderedPageBreak/>
        <w:t>技术股份有限公司欺诈发行、信息披露违法违规案件，涉及的中介机构包括中</w:t>
      </w:r>
      <w:proofErr w:type="gramStart"/>
      <w:r>
        <w:rPr>
          <w:rFonts w:ascii="仿宋" w:eastAsia="仿宋" w:hAnsi="仿宋" w:cs="宋体" w:hint="eastAsia"/>
          <w:color w:val="000000"/>
          <w:sz w:val="32"/>
          <w:szCs w:val="32"/>
        </w:rPr>
        <w:t>信建投证券</w:t>
      </w:r>
      <w:proofErr w:type="gramEnd"/>
      <w:r>
        <w:rPr>
          <w:rFonts w:ascii="仿宋" w:eastAsia="仿宋" w:hAnsi="仿宋" w:cs="宋体" w:hint="eastAsia"/>
          <w:color w:val="000000"/>
          <w:sz w:val="32"/>
          <w:szCs w:val="32"/>
        </w:rPr>
        <w:t>、两家事务所及某律师事务所。</w:t>
      </w:r>
      <w:r>
        <w:rPr>
          <w:rFonts w:ascii="仿宋" w:eastAsia="仿宋" w:hAnsi="仿宋" w:cs="楷体" w:hint="eastAsia"/>
          <w:color w:val="000000"/>
          <w:sz w:val="32"/>
          <w:szCs w:val="32"/>
          <w:vertAlign w:val="superscript"/>
        </w:rPr>
        <w:footnoteReference w:id="13"/>
      </w:r>
      <w:r>
        <w:rPr>
          <w:rFonts w:ascii="仿宋" w:eastAsia="仿宋" w:hAnsi="仿宋" w:cs="宋体" w:hint="eastAsia"/>
          <w:color w:val="000000"/>
          <w:sz w:val="32"/>
          <w:szCs w:val="32"/>
        </w:rPr>
        <w:t>上述机构因涉嫌未勤勉尽责而被立案调查。根据《证券法》第一百七十一条及《证券期货行政执法当事人承诺制度实施办法》，证监会允许当事人提出承诺申请，经审查符合条件的，可以通过承诺机制化解案件风险。在此框架下，4家中介机构分别与证监会签署了承诺认可协议。具体措施如下，首先在</w:t>
      </w:r>
      <w:proofErr w:type="gramStart"/>
      <w:r>
        <w:rPr>
          <w:rFonts w:ascii="仿宋" w:eastAsia="仿宋" w:hAnsi="仿宋" w:cs="宋体" w:hint="eastAsia"/>
          <w:color w:val="000000"/>
          <w:sz w:val="32"/>
          <w:szCs w:val="32"/>
        </w:rPr>
        <w:t>承诺金</w:t>
      </w:r>
      <w:proofErr w:type="gramEnd"/>
      <w:r>
        <w:rPr>
          <w:rFonts w:ascii="仿宋" w:eastAsia="仿宋" w:hAnsi="仿宋" w:cs="宋体" w:hint="eastAsia"/>
          <w:color w:val="000000"/>
          <w:sz w:val="32"/>
          <w:szCs w:val="32"/>
        </w:rPr>
        <w:t>缴纳方面，4家中介机构共计缴纳约12.75亿元承诺金。其次在签署协议前，机构已通过先行赔付方式向16,986户投资者支付约10.86亿元，覆盖率高达97.22%。再次，对于剩余约1.89亿元承诺金，由中国证券投资者保护基金公司统一管理，用于尚未支付的损失款（1179万元）及惩戒性资金。最后由各机构需提交自查整改报告，追究责任人责任，证监会对整改情况进行现场核查。在2024年8月30日，证监会认定上述机构已履行承诺协议要求，依法终止对其调查。这是执法承诺制度首次在资本市场大案中得到大规模应用。</w:t>
      </w:r>
    </w:p>
    <w:p w14:paraId="534CA7B9" w14:textId="77777777" w:rsidR="00203670" w:rsidRDefault="003E3946">
      <w:pPr>
        <w:spacing w:line="560" w:lineRule="exact"/>
        <w:ind w:firstLineChars="200" w:firstLine="640"/>
        <w:rPr>
          <w:rFonts w:ascii="仿宋" w:eastAsia="仿宋" w:hAnsi="仿宋" w:cs="楷体" w:hint="eastAsia"/>
          <w:color w:val="000000"/>
          <w:sz w:val="32"/>
          <w:szCs w:val="32"/>
        </w:rPr>
      </w:pPr>
      <w:r>
        <w:rPr>
          <w:rFonts w:ascii="仿宋" w:eastAsia="仿宋" w:hAnsi="仿宋" w:cs="楷体" w:hint="eastAsia"/>
          <w:color w:val="000000"/>
          <w:sz w:val="32"/>
          <w:szCs w:val="32"/>
        </w:rPr>
        <w:t>（2）</w:t>
      </w:r>
      <w:proofErr w:type="gramStart"/>
      <w:r>
        <w:rPr>
          <w:rFonts w:ascii="仿宋" w:eastAsia="仿宋" w:hAnsi="仿宋" w:cs="楷体" w:hint="eastAsia"/>
          <w:color w:val="000000"/>
          <w:sz w:val="32"/>
          <w:szCs w:val="32"/>
        </w:rPr>
        <w:t>泽达易</w:t>
      </w:r>
      <w:proofErr w:type="gramEnd"/>
      <w:r>
        <w:rPr>
          <w:rFonts w:ascii="仿宋" w:eastAsia="仿宋" w:hAnsi="仿宋" w:cs="楷体" w:hint="eastAsia"/>
          <w:color w:val="000000"/>
          <w:sz w:val="32"/>
          <w:szCs w:val="32"/>
        </w:rPr>
        <w:t>盛案</w:t>
      </w:r>
    </w:p>
    <w:p w14:paraId="3ECB4876" w14:textId="77777777" w:rsidR="00203670" w:rsidRDefault="003E3946">
      <w:pPr>
        <w:spacing w:line="560" w:lineRule="exact"/>
        <w:ind w:rightChars="-94" w:right="-197" w:firstLineChars="200" w:firstLine="640"/>
        <w:rPr>
          <w:rFonts w:ascii="仿宋" w:eastAsia="仿宋" w:hAnsi="仿宋" w:cs="宋体" w:hint="eastAsia"/>
          <w:color w:val="000000"/>
          <w:sz w:val="32"/>
          <w:szCs w:val="32"/>
        </w:rPr>
      </w:pPr>
      <w:proofErr w:type="gramStart"/>
      <w:r>
        <w:rPr>
          <w:rFonts w:ascii="仿宋" w:eastAsia="仿宋" w:hAnsi="仿宋" w:cs="宋体" w:hint="eastAsia"/>
          <w:color w:val="000000"/>
          <w:sz w:val="32"/>
          <w:szCs w:val="32"/>
        </w:rPr>
        <w:t>泽达易</w:t>
      </w:r>
      <w:proofErr w:type="gramEnd"/>
      <w:r>
        <w:rPr>
          <w:rFonts w:ascii="仿宋" w:eastAsia="仿宋" w:hAnsi="仿宋" w:cs="宋体" w:hint="eastAsia"/>
          <w:color w:val="000000"/>
          <w:sz w:val="32"/>
          <w:szCs w:val="32"/>
        </w:rPr>
        <w:t>盛在IPO过程中隐瞒重大事实并虚构信息，在年度报告中亦存在虚假记载和重大遗漏。2023年4月，证监会对公司</w:t>
      </w:r>
      <w:proofErr w:type="gramStart"/>
      <w:r>
        <w:rPr>
          <w:rFonts w:ascii="仿宋" w:eastAsia="仿宋" w:hAnsi="仿宋" w:cs="宋体" w:hint="eastAsia"/>
          <w:color w:val="000000"/>
          <w:sz w:val="32"/>
          <w:szCs w:val="32"/>
        </w:rPr>
        <w:t>作出</w:t>
      </w:r>
      <w:proofErr w:type="gramEnd"/>
      <w:r>
        <w:rPr>
          <w:rFonts w:ascii="仿宋" w:eastAsia="仿宋" w:hAnsi="仿宋" w:cs="宋体" w:hint="eastAsia"/>
          <w:color w:val="000000"/>
          <w:sz w:val="32"/>
          <w:szCs w:val="32"/>
        </w:rPr>
        <w:t>行政处罚，并对保荐机构东兴证券和年审审计机构某事务所立案调查。该案系全国首例涉及</w:t>
      </w:r>
      <w:proofErr w:type="gramStart"/>
      <w:r>
        <w:rPr>
          <w:rFonts w:ascii="仿宋" w:eastAsia="仿宋" w:hAnsi="仿宋" w:cs="宋体" w:hint="eastAsia"/>
          <w:color w:val="000000"/>
          <w:sz w:val="32"/>
          <w:szCs w:val="32"/>
        </w:rPr>
        <w:t>科创板</w:t>
      </w:r>
      <w:proofErr w:type="gramEnd"/>
      <w:r>
        <w:rPr>
          <w:rFonts w:ascii="仿宋" w:eastAsia="仿宋" w:hAnsi="仿宋" w:cs="宋体" w:hint="eastAsia"/>
          <w:color w:val="000000"/>
          <w:sz w:val="32"/>
          <w:szCs w:val="32"/>
        </w:rPr>
        <w:t>上市公司的特别代表人诉讼案件，同时也是证券集体诉讼和解的首例。</w:t>
      </w:r>
      <w:r>
        <w:rPr>
          <w:rStyle w:val="af3"/>
          <w:rFonts w:ascii="仿宋" w:eastAsia="仿宋" w:hAnsi="仿宋" w:cs="楷体" w:hint="eastAsia"/>
          <w:color w:val="000000"/>
          <w:sz w:val="32"/>
          <w:szCs w:val="32"/>
        </w:rPr>
        <w:footnoteReference w:id="14"/>
      </w:r>
      <w:r>
        <w:rPr>
          <w:rFonts w:ascii="仿宋" w:eastAsia="仿宋" w:hAnsi="仿宋" w:cs="宋体" w:hint="eastAsia"/>
          <w:color w:val="000000"/>
          <w:sz w:val="32"/>
          <w:szCs w:val="32"/>
        </w:rPr>
        <w:t>该案</w:t>
      </w:r>
      <w:r>
        <w:rPr>
          <w:rFonts w:ascii="仿宋" w:eastAsia="仿宋" w:hAnsi="仿宋" w:cs="宋体" w:hint="eastAsia"/>
          <w:color w:val="000000"/>
          <w:sz w:val="32"/>
          <w:szCs w:val="32"/>
        </w:rPr>
        <w:lastRenderedPageBreak/>
        <w:t>中，在上海金融法院主持下，东兴证券、某事务所与其他责任方共同设立赔付专项资金账户。截至2024年10月25日，</w:t>
      </w:r>
      <w:proofErr w:type="gramStart"/>
      <w:r>
        <w:rPr>
          <w:rFonts w:ascii="仿宋" w:eastAsia="仿宋" w:hAnsi="仿宋" w:cs="宋体" w:hint="eastAsia"/>
          <w:color w:val="000000"/>
          <w:sz w:val="32"/>
          <w:szCs w:val="32"/>
        </w:rPr>
        <w:t>7222户适格投资者</w:t>
      </w:r>
      <w:proofErr w:type="gramEnd"/>
      <w:r>
        <w:rPr>
          <w:rFonts w:ascii="仿宋" w:eastAsia="仿宋" w:hAnsi="仿宋" w:cs="宋体" w:hint="eastAsia"/>
          <w:color w:val="000000"/>
          <w:sz w:val="32"/>
          <w:szCs w:val="32"/>
        </w:rPr>
        <w:t>获得全额赔偿，共计2.88亿元。2024年10月23日，东兴证券与某事务所正式与证监会签署承诺认可协议。因投资者损失已全部得到赔偿，两家机构仅需缴纳惩戒性承诺金：东兴证券1.05亿元，某事务所9261.13万元。</w:t>
      </w:r>
      <w:r>
        <w:rPr>
          <w:rStyle w:val="af3"/>
          <w:rFonts w:ascii="仿宋" w:eastAsia="仿宋" w:hAnsi="仿宋" w:cs="宋体" w:hint="eastAsia"/>
          <w:color w:val="000000"/>
          <w:sz w:val="32"/>
          <w:szCs w:val="32"/>
        </w:rPr>
        <w:footnoteReference w:id="15"/>
      </w:r>
      <w:r>
        <w:rPr>
          <w:rFonts w:ascii="仿宋" w:eastAsia="仿宋" w:hAnsi="仿宋" w:cs="宋体" w:hint="eastAsia"/>
          <w:color w:val="000000"/>
          <w:sz w:val="32"/>
          <w:szCs w:val="32"/>
        </w:rPr>
        <w:t>而东兴证券此前已独自承担1.10亿元赔偿款，以此计算，</w:t>
      </w:r>
      <w:proofErr w:type="gramStart"/>
      <w:r>
        <w:rPr>
          <w:rFonts w:ascii="仿宋" w:eastAsia="仿宋" w:hAnsi="仿宋" w:cs="宋体" w:hint="eastAsia"/>
          <w:color w:val="000000"/>
          <w:sz w:val="32"/>
          <w:szCs w:val="32"/>
        </w:rPr>
        <w:t>在泽达易</w:t>
      </w:r>
      <w:proofErr w:type="gramEnd"/>
      <w:r>
        <w:rPr>
          <w:rFonts w:ascii="仿宋" w:eastAsia="仿宋" w:hAnsi="仿宋" w:cs="宋体" w:hint="eastAsia"/>
          <w:color w:val="000000"/>
          <w:sz w:val="32"/>
          <w:szCs w:val="32"/>
        </w:rPr>
        <w:t>盛一案中，东兴证券共需付出2.15亿元的经济代价。证监会要求，两家机构必须在三个月内提交书面整改报告，追究内部责任，强化合</w:t>
      </w:r>
      <w:proofErr w:type="gramStart"/>
      <w:r>
        <w:rPr>
          <w:rFonts w:ascii="仿宋" w:eastAsia="仿宋" w:hAnsi="仿宋" w:cs="宋体" w:hint="eastAsia"/>
          <w:color w:val="000000"/>
          <w:sz w:val="32"/>
          <w:szCs w:val="32"/>
        </w:rPr>
        <w:t>规</w:t>
      </w:r>
      <w:proofErr w:type="gramEnd"/>
      <w:r>
        <w:rPr>
          <w:rFonts w:ascii="仿宋" w:eastAsia="仿宋" w:hAnsi="仿宋" w:cs="宋体" w:hint="eastAsia"/>
          <w:color w:val="000000"/>
          <w:sz w:val="32"/>
          <w:szCs w:val="32"/>
        </w:rPr>
        <w:t>风控，同时，相关代表人和注册会计师需提交检讨报告，参加培训，以提高执业水平。在此基础上，证监会中止了对相关当事人的调查，若未来出现未履约情形，将恢复调查程序。该案成为行政执法承诺制度与证券集体诉讼相结合的创新范例。</w:t>
      </w:r>
    </w:p>
    <w:p w14:paraId="17A7B20F" w14:textId="77777777" w:rsidR="00203670" w:rsidRDefault="003E3946">
      <w:pPr>
        <w:spacing w:line="560" w:lineRule="exact"/>
        <w:ind w:firstLineChars="200" w:firstLine="640"/>
        <w:outlineLvl w:val="2"/>
        <w:rPr>
          <w:rFonts w:ascii="仿宋" w:eastAsia="仿宋" w:hAnsi="仿宋" w:cs="楷体" w:hint="eastAsia"/>
          <w:color w:val="000000"/>
          <w:sz w:val="32"/>
          <w:szCs w:val="32"/>
        </w:rPr>
      </w:pPr>
      <w:bookmarkStart w:id="25" w:name="_Toc29993"/>
      <w:r>
        <w:rPr>
          <w:rFonts w:ascii="仿宋" w:eastAsia="仿宋" w:hAnsi="仿宋" w:cs="楷体" w:hint="eastAsia"/>
          <w:color w:val="000000"/>
          <w:sz w:val="32"/>
          <w:szCs w:val="32"/>
        </w:rPr>
        <w:t>2.实施效果</w:t>
      </w:r>
      <w:bookmarkEnd w:id="25"/>
    </w:p>
    <w:p w14:paraId="17669F1A" w14:textId="77777777" w:rsidR="00203670" w:rsidRDefault="003E3946">
      <w:pPr>
        <w:numPr>
          <w:ilvl w:val="0"/>
          <w:numId w:val="1"/>
        </w:numPr>
        <w:spacing w:line="560" w:lineRule="exact"/>
        <w:ind w:firstLineChars="200" w:firstLine="640"/>
        <w:rPr>
          <w:rFonts w:ascii="仿宋" w:eastAsia="仿宋" w:hAnsi="仿宋" w:cs="楷体" w:hint="eastAsia"/>
          <w:color w:val="000000"/>
          <w:sz w:val="32"/>
          <w:szCs w:val="32"/>
        </w:rPr>
      </w:pPr>
      <w:r>
        <w:rPr>
          <w:rFonts w:ascii="仿宋" w:eastAsia="仿宋" w:hAnsi="仿宋" w:cs="楷体" w:hint="eastAsia"/>
          <w:color w:val="000000"/>
          <w:sz w:val="32"/>
          <w:szCs w:val="32"/>
        </w:rPr>
        <w:t>落实了优先保护投资者的目标</w:t>
      </w:r>
    </w:p>
    <w:p w14:paraId="56F25E05" w14:textId="77777777" w:rsidR="00203670" w:rsidRDefault="003E3946">
      <w:pPr>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t>执法承诺制度更强调投资者保护。紫晶</w:t>
      </w:r>
      <w:proofErr w:type="gramStart"/>
      <w:r>
        <w:rPr>
          <w:rFonts w:ascii="仿宋" w:eastAsia="仿宋" w:hAnsi="仿宋" w:cs="宋体" w:hint="eastAsia"/>
          <w:color w:val="000000"/>
          <w:sz w:val="32"/>
          <w:szCs w:val="32"/>
        </w:rPr>
        <w:t>存储案</w:t>
      </w:r>
      <w:proofErr w:type="gramEnd"/>
      <w:r>
        <w:rPr>
          <w:rFonts w:ascii="仿宋" w:eastAsia="仿宋" w:hAnsi="仿宋" w:cs="宋体" w:hint="eastAsia"/>
          <w:color w:val="000000"/>
          <w:sz w:val="32"/>
          <w:szCs w:val="32"/>
        </w:rPr>
        <w:t>仅用两个月便完成了对近17,000名投资者的赔偿，覆盖率97%以上；</w:t>
      </w:r>
      <w:proofErr w:type="gramStart"/>
      <w:r>
        <w:rPr>
          <w:rFonts w:ascii="仿宋" w:eastAsia="仿宋" w:hAnsi="仿宋" w:cs="宋体" w:hint="eastAsia"/>
          <w:color w:val="000000"/>
          <w:sz w:val="32"/>
          <w:szCs w:val="32"/>
        </w:rPr>
        <w:t>泽达易盛案</w:t>
      </w:r>
      <w:proofErr w:type="gramEnd"/>
      <w:r>
        <w:rPr>
          <w:rFonts w:ascii="仿宋" w:eastAsia="仿宋" w:hAnsi="仿宋" w:cs="宋体" w:hint="eastAsia"/>
          <w:color w:val="000000"/>
          <w:sz w:val="32"/>
          <w:szCs w:val="32"/>
        </w:rPr>
        <w:t>则实现了100%赔偿。这一机制有效缓解了投资者维权难、周期长的问题，提升了市场信心。</w:t>
      </w:r>
    </w:p>
    <w:p w14:paraId="2B0DBAC9" w14:textId="77777777" w:rsidR="00203670" w:rsidRDefault="003E3946">
      <w:pPr>
        <w:spacing w:line="560" w:lineRule="exact"/>
        <w:ind w:firstLineChars="200" w:firstLine="640"/>
        <w:rPr>
          <w:rFonts w:ascii="仿宋" w:eastAsia="仿宋" w:hAnsi="仿宋" w:cs="楷体" w:hint="eastAsia"/>
          <w:color w:val="000000"/>
          <w:sz w:val="32"/>
          <w:szCs w:val="32"/>
        </w:rPr>
      </w:pPr>
      <w:r>
        <w:rPr>
          <w:rFonts w:ascii="仿宋" w:eastAsia="仿宋" w:hAnsi="仿宋" w:cs="楷体" w:hint="eastAsia"/>
          <w:color w:val="000000"/>
          <w:sz w:val="32"/>
          <w:szCs w:val="32"/>
        </w:rPr>
        <w:t>（2）贯彻了惩戒与补偿并重的原则</w:t>
      </w:r>
    </w:p>
    <w:p w14:paraId="48C38A1C" w14:textId="77777777" w:rsidR="00203670" w:rsidRDefault="003E3946">
      <w:pPr>
        <w:spacing w:line="560" w:lineRule="exact"/>
        <w:ind w:firstLineChars="200" w:firstLine="640"/>
        <w:rPr>
          <w:rFonts w:ascii="仿宋" w:eastAsia="仿宋" w:hAnsi="仿宋" w:cs="宋体" w:hint="eastAsia"/>
          <w:color w:val="000000"/>
          <w:sz w:val="32"/>
          <w:szCs w:val="32"/>
        </w:rPr>
      </w:pPr>
      <w:proofErr w:type="gramStart"/>
      <w:r>
        <w:rPr>
          <w:rFonts w:ascii="仿宋" w:eastAsia="仿宋" w:hAnsi="仿宋" w:cs="宋体" w:hint="eastAsia"/>
          <w:color w:val="000000"/>
          <w:sz w:val="32"/>
          <w:szCs w:val="32"/>
        </w:rPr>
        <w:t>承诺金既</w:t>
      </w:r>
      <w:proofErr w:type="gramEnd"/>
      <w:r>
        <w:rPr>
          <w:rFonts w:ascii="仿宋" w:eastAsia="仿宋" w:hAnsi="仿宋" w:cs="宋体" w:hint="eastAsia"/>
          <w:color w:val="000000"/>
          <w:sz w:val="32"/>
          <w:szCs w:val="32"/>
        </w:rPr>
        <w:t>包括赔偿性资金，也包含惩戒性资金。在紫晶存储案中，涉案金额合计超12.75亿元，包括1.89亿元</w:t>
      </w:r>
      <w:proofErr w:type="gramStart"/>
      <w:r>
        <w:rPr>
          <w:rFonts w:ascii="仿宋" w:eastAsia="仿宋" w:hAnsi="仿宋" w:cs="宋体" w:hint="eastAsia"/>
          <w:color w:val="000000"/>
          <w:sz w:val="32"/>
          <w:szCs w:val="32"/>
        </w:rPr>
        <w:t>承诺金</w:t>
      </w:r>
      <w:proofErr w:type="gramEnd"/>
      <w:r>
        <w:rPr>
          <w:rFonts w:ascii="仿宋" w:eastAsia="仿宋" w:hAnsi="仿宋" w:cs="宋体" w:hint="eastAsia"/>
          <w:color w:val="000000"/>
          <w:sz w:val="32"/>
          <w:szCs w:val="32"/>
        </w:rPr>
        <w:t>与10.86亿元先行赔付。而</w:t>
      </w:r>
      <w:proofErr w:type="gramStart"/>
      <w:r>
        <w:rPr>
          <w:rFonts w:ascii="仿宋" w:eastAsia="仿宋" w:hAnsi="仿宋" w:cs="宋体" w:hint="eastAsia"/>
          <w:color w:val="000000"/>
          <w:sz w:val="32"/>
          <w:szCs w:val="32"/>
        </w:rPr>
        <w:t>在泽达易</w:t>
      </w:r>
      <w:proofErr w:type="gramEnd"/>
      <w:r>
        <w:rPr>
          <w:rFonts w:ascii="仿宋" w:eastAsia="仿宋" w:hAnsi="仿宋" w:cs="宋体" w:hint="eastAsia"/>
          <w:color w:val="000000"/>
          <w:sz w:val="32"/>
          <w:szCs w:val="32"/>
        </w:rPr>
        <w:t>盛案中，赔偿与承</w:t>
      </w:r>
      <w:r>
        <w:rPr>
          <w:rFonts w:ascii="仿宋" w:eastAsia="仿宋" w:hAnsi="仿宋" w:cs="宋体" w:hint="eastAsia"/>
          <w:color w:val="000000"/>
          <w:sz w:val="32"/>
          <w:szCs w:val="32"/>
        </w:rPr>
        <w:lastRenderedPageBreak/>
        <w:t>诺金额合计约4.86亿元，包括2.88亿元投资者赔偿、1.05亿元东兴证券惩戒性</w:t>
      </w:r>
      <w:proofErr w:type="gramStart"/>
      <w:r>
        <w:rPr>
          <w:rFonts w:ascii="仿宋" w:eastAsia="仿宋" w:hAnsi="仿宋" w:cs="宋体" w:hint="eastAsia"/>
          <w:color w:val="000000"/>
          <w:sz w:val="32"/>
          <w:szCs w:val="32"/>
        </w:rPr>
        <w:t>承诺金</w:t>
      </w:r>
      <w:proofErr w:type="gramEnd"/>
      <w:r>
        <w:rPr>
          <w:rFonts w:ascii="仿宋" w:eastAsia="仿宋" w:hAnsi="仿宋" w:cs="宋体" w:hint="eastAsia"/>
          <w:color w:val="000000"/>
          <w:sz w:val="32"/>
          <w:szCs w:val="32"/>
        </w:rPr>
        <w:t>与9261.13万元某事务所惩戒性承诺金。惩戒与补偿强化了事务所的法律责任意识，避免其一赔了事。</w:t>
      </w:r>
    </w:p>
    <w:p w14:paraId="10962CE4" w14:textId="77777777" w:rsidR="00203670" w:rsidRDefault="003E3946">
      <w:pPr>
        <w:spacing w:line="560" w:lineRule="exact"/>
        <w:ind w:firstLineChars="200" w:firstLine="640"/>
        <w:rPr>
          <w:rFonts w:ascii="仿宋" w:eastAsia="仿宋" w:hAnsi="仿宋" w:cs="楷体" w:hint="eastAsia"/>
          <w:color w:val="000000"/>
          <w:sz w:val="32"/>
          <w:szCs w:val="32"/>
        </w:rPr>
      </w:pPr>
      <w:r>
        <w:rPr>
          <w:rFonts w:ascii="仿宋" w:eastAsia="仿宋" w:hAnsi="仿宋" w:cs="楷体" w:hint="eastAsia"/>
          <w:color w:val="000000"/>
          <w:sz w:val="32"/>
          <w:szCs w:val="32"/>
        </w:rPr>
        <w:t>（3）体现了刚柔并济的执法理念</w:t>
      </w:r>
    </w:p>
    <w:p w14:paraId="6C44DCB3" w14:textId="77777777" w:rsidR="00203670" w:rsidRDefault="003E3946">
      <w:pPr>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t>执法承诺制度赋予事务所等中介机构主动修复违法后果的空间，体现柔性执法的一面。同时，监管机构对</w:t>
      </w:r>
      <w:proofErr w:type="gramStart"/>
      <w:r>
        <w:rPr>
          <w:rFonts w:ascii="仿宋" w:eastAsia="仿宋" w:hAnsi="仿宋" w:cs="宋体" w:hint="eastAsia"/>
          <w:color w:val="000000"/>
          <w:sz w:val="32"/>
          <w:szCs w:val="32"/>
        </w:rPr>
        <w:t>承诺金</w:t>
      </w:r>
      <w:proofErr w:type="gramEnd"/>
      <w:r>
        <w:rPr>
          <w:rFonts w:ascii="仿宋" w:eastAsia="仿宋" w:hAnsi="仿宋" w:cs="宋体" w:hint="eastAsia"/>
          <w:color w:val="000000"/>
          <w:sz w:val="32"/>
          <w:szCs w:val="32"/>
        </w:rPr>
        <w:t>缴纳、整改落实和人员责任追究等方面设置严格标准，形成刚性约束，如要求事务所提交整改报告、强化内控、追究责任人责任，并安排注册会计师学习法律法规、参加培训，促使事务所整体规范化发展。这种刚柔并重的执法模式，有助于平衡监管目标与市场活力。</w:t>
      </w:r>
    </w:p>
    <w:p w14:paraId="28D3AFDF" w14:textId="77777777" w:rsidR="00203670" w:rsidRDefault="00203670">
      <w:pPr>
        <w:spacing w:line="560" w:lineRule="exact"/>
        <w:ind w:firstLineChars="200" w:firstLine="640"/>
        <w:rPr>
          <w:rFonts w:ascii="仿宋" w:eastAsia="仿宋" w:hAnsi="仿宋" w:cs="宋体" w:hint="eastAsia"/>
          <w:color w:val="000000"/>
          <w:sz w:val="32"/>
          <w:szCs w:val="32"/>
        </w:rPr>
      </w:pPr>
    </w:p>
    <w:p w14:paraId="5C0EC6C4" w14:textId="77777777" w:rsidR="00203670" w:rsidRDefault="003E3946">
      <w:pPr>
        <w:spacing w:line="360" w:lineRule="auto"/>
        <w:rPr>
          <w:rFonts w:ascii="Calibri" w:eastAsia="宋体" w:hAnsi="Calibri" w:cs="Times New Roman"/>
        </w:rPr>
      </w:pPr>
      <w:r>
        <w:rPr>
          <w:rFonts w:ascii="Calibri" w:eastAsia="宋体" w:hAnsi="Calibri" w:cs="Times New Roman"/>
          <w:noProof/>
        </w:rPr>
        <w:drawing>
          <wp:inline distT="0" distB="0" distL="114300" distR="114300" wp14:anchorId="02EAADC4" wp14:editId="0018D847">
            <wp:extent cx="5271135" cy="2708275"/>
            <wp:effectExtent l="0" t="0" r="1206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5271135" cy="2708275"/>
                    </a:xfrm>
                    <a:prstGeom prst="rect">
                      <a:avLst/>
                    </a:prstGeom>
                    <a:noFill/>
                    <a:ln>
                      <a:noFill/>
                    </a:ln>
                  </pic:spPr>
                </pic:pic>
              </a:graphicData>
            </a:graphic>
          </wp:inline>
        </w:drawing>
      </w:r>
    </w:p>
    <w:p w14:paraId="3DEC355B" w14:textId="77777777" w:rsidR="00203670" w:rsidRDefault="003E3946">
      <w:pPr>
        <w:spacing w:line="360" w:lineRule="auto"/>
        <w:jc w:val="center"/>
        <w:rPr>
          <w:rFonts w:ascii="宋体" w:eastAsia="宋体" w:hAnsi="宋体" w:cs="宋体" w:hint="eastAsia"/>
          <w:color w:val="000000"/>
          <w:sz w:val="24"/>
        </w:rPr>
      </w:pPr>
      <w:r>
        <w:rPr>
          <w:rFonts w:ascii="楷体" w:eastAsia="楷体" w:hAnsi="楷体" w:cs="楷体" w:hint="eastAsia"/>
        </w:rPr>
        <w:t>图1 行政执法当事人承诺相关案例对照</w:t>
      </w:r>
      <w:r>
        <w:rPr>
          <w:rStyle w:val="af3"/>
        </w:rPr>
        <w:footnoteReference w:id="16"/>
      </w:r>
    </w:p>
    <w:p w14:paraId="29C7A9F8" w14:textId="77777777" w:rsidR="00203670" w:rsidRDefault="003E3946">
      <w:pPr>
        <w:spacing w:line="560" w:lineRule="exact"/>
        <w:ind w:firstLineChars="200" w:firstLine="640"/>
        <w:outlineLvl w:val="2"/>
        <w:rPr>
          <w:rFonts w:ascii="仿宋" w:eastAsia="仿宋" w:hAnsi="仿宋" w:cs="楷体" w:hint="eastAsia"/>
          <w:color w:val="000000"/>
          <w:sz w:val="32"/>
          <w:szCs w:val="32"/>
        </w:rPr>
      </w:pPr>
      <w:bookmarkStart w:id="26" w:name="_Toc9963"/>
      <w:r>
        <w:rPr>
          <w:rFonts w:ascii="仿宋" w:eastAsia="仿宋" w:hAnsi="仿宋" w:cs="楷体" w:hint="eastAsia"/>
          <w:color w:val="000000"/>
          <w:sz w:val="32"/>
          <w:szCs w:val="32"/>
        </w:rPr>
        <w:t>3.主要问题</w:t>
      </w:r>
      <w:bookmarkEnd w:id="26"/>
    </w:p>
    <w:p w14:paraId="6BD054A0" w14:textId="77777777" w:rsidR="00203670" w:rsidRDefault="003E3946">
      <w:pPr>
        <w:spacing w:line="560" w:lineRule="exact"/>
        <w:ind w:firstLineChars="200" w:firstLine="640"/>
        <w:rPr>
          <w:rFonts w:ascii="仿宋" w:eastAsia="仿宋" w:hAnsi="仿宋" w:cs="楷体" w:hint="eastAsia"/>
          <w:color w:val="000000"/>
          <w:sz w:val="32"/>
          <w:szCs w:val="32"/>
        </w:rPr>
      </w:pPr>
      <w:r>
        <w:rPr>
          <w:rFonts w:ascii="仿宋" w:eastAsia="仿宋" w:hAnsi="仿宋" w:cs="楷体" w:hint="eastAsia"/>
          <w:color w:val="000000"/>
          <w:sz w:val="32"/>
          <w:szCs w:val="32"/>
        </w:rPr>
        <w:t>（1）适用率不高</w:t>
      </w:r>
    </w:p>
    <w:p w14:paraId="324B6D8B" w14:textId="77777777" w:rsidR="00203670" w:rsidRDefault="003E3946">
      <w:pPr>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lastRenderedPageBreak/>
        <w:t>自2015年证监会在证券期货领域开展行政和解试点以来，仅有2起案件达成和解，而在2015-2020年期间，证监会</w:t>
      </w:r>
      <w:proofErr w:type="gramStart"/>
      <w:r>
        <w:rPr>
          <w:rFonts w:ascii="仿宋" w:eastAsia="仿宋" w:hAnsi="仿宋" w:cs="宋体" w:hint="eastAsia"/>
          <w:color w:val="000000"/>
          <w:sz w:val="32"/>
          <w:szCs w:val="32"/>
        </w:rPr>
        <w:t>作出</w:t>
      </w:r>
      <w:proofErr w:type="gramEnd"/>
      <w:r>
        <w:rPr>
          <w:rFonts w:ascii="仿宋" w:eastAsia="仿宋" w:hAnsi="仿宋" w:cs="宋体" w:hint="eastAsia"/>
          <w:color w:val="000000"/>
          <w:sz w:val="32"/>
          <w:szCs w:val="32"/>
        </w:rPr>
        <w:t>行政</w:t>
      </w:r>
      <w:proofErr w:type="gramStart"/>
      <w:r>
        <w:rPr>
          <w:rFonts w:ascii="仿宋" w:eastAsia="仿宋" w:hAnsi="仿宋" w:cs="宋体" w:hint="eastAsia"/>
          <w:color w:val="000000"/>
          <w:sz w:val="32"/>
          <w:szCs w:val="32"/>
        </w:rPr>
        <w:t>处罚约</w:t>
      </w:r>
      <w:proofErr w:type="gramEnd"/>
      <w:r>
        <w:rPr>
          <w:rFonts w:ascii="仿宋" w:eastAsia="仿宋" w:hAnsi="仿宋" w:cs="宋体" w:hint="eastAsia"/>
          <w:color w:val="000000"/>
          <w:sz w:val="32"/>
          <w:szCs w:val="32"/>
        </w:rPr>
        <w:t>1500起，</w:t>
      </w:r>
      <w:proofErr w:type="gramStart"/>
      <w:r>
        <w:rPr>
          <w:rFonts w:ascii="仿宋" w:eastAsia="仿宋" w:hAnsi="仿宋" w:cs="宋体" w:hint="eastAsia"/>
          <w:color w:val="000000"/>
          <w:sz w:val="32"/>
          <w:szCs w:val="32"/>
        </w:rPr>
        <w:t>和解占</w:t>
      </w:r>
      <w:proofErr w:type="gramEnd"/>
      <w:r>
        <w:rPr>
          <w:rFonts w:ascii="仿宋" w:eastAsia="仿宋" w:hAnsi="仿宋" w:cs="宋体" w:hint="eastAsia"/>
          <w:color w:val="000000"/>
          <w:sz w:val="32"/>
          <w:szCs w:val="32"/>
        </w:rPr>
        <w:t>比仅为0.13%。</w:t>
      </w:r>
      <w:r>
        <w:rPr>
          <w:rStyle w:val="af3"/>
          <w:rFonts w:ascii="仿宋" w:eastAsia="仿宋" w:hAnsi="仿宋" w:cs="宋体" w:hint="eastAsia"/>
          <w:color w:val="000000"/>
          <w:sz w:val="32"/>
          <w:szCs w:val="32"/>
        </w:rPr>
        <w:footnoteReference w:id="17"/>
      </w:r>
      <w:r>
        <w:rPr>
          <w:rFonts w:ascii="仿宋" w:eastAsia="仿宋" w:hAnsi="仿宋" w:cs="宋体" w:hint="eastAsia"/>
          <w:color w:val="000000"/>
          <w:sz w:val="32"/>
          <w:szCs w:val="32"/>
        </w:rPr>
        <w:t>对比同期美国证券业来看，在2007 年至 2012 年间，SEC 每年向法院提交约 200 份和解协议，占比达到60%，行政和解适用率差距较大。2021年和2022年，国务院《证券期货行政执法当事人承诺制度实施办法》、证监会</w:t>
      </w:r>
      <w:r>
        <w:rPr>
          <w:rFonts w:ascii="仿宋" w:eastAsia="仿宋" w:hAnsi="仿宋" w:cs="宋体" w:hint="eastAsia"/>
          <w:sz w:val="32"/>
          <w:szCs w:val="32"/>
        </w:rPr>
        <w:t>《证券期货行政执法当事人承诺制度实施规定》相继颁布，进一步发展完善了行政和解，</w:t>
      </w:r>
      <w:r>
        <w:rPr>
          <w:rFonts w:ascii="仿宋" w:eastAsia="仿宋" w:hAnsi="仿宋" w:cs="宋体" w:hint="eastAsia"/>
          <w:color w:val="000000"/>
          <w:sz w:val="32"/>
          <w:szCs w:val="32"/>
        </w:rPr>
        <w:t>规定了当事人承诺的具体制度。但截至2025年11月，也仅有两起行政执法承诺的实际案例。适用率偏低与以下因素有关：一是监管理念尚未转变。传统监管具有很强的职权主义色彩，未能主动适应带有契约色彩的当事人承诺制度。二是适用主体各有顾虑。程序上，监管机构不得主动提议，只能由当事人申请。但在受理审查上及受理后的协议协商环节，监管机构拥有一定的裁量权，这种不确定性容易引发当事人的顾虑。</w:t>
      </w:r>
    </w:p>
    <w:p w14:paraId="12B64B3C" w14:textId="77777777" w:rsidR="00203670" w:rsidRDefault="003E3946">
      <w:pPr>
        <w:spacing w:line="560" w:lineRule="exact"/>
        <w:ind w:firstLineChars="200" w:firstLine="640"/>
        <w:rPr>
          <w:rFonts w:ascii="仿宋" w:eastAsia="仿宋" w:hAnsi="仿宋" w:cs="仿宋" w:hint="eastAsia"/>
          <w:b/>
          <w:bCs/>
          <w:sz w:val="32"/>
          <w:szCs w:val="32"/>
        </w:rPr>
      </w:pPr>
      <w:r>
        <w:rPr>
          <w:rFonts w:ascii="仿宋" w:eastAsia="仿宋" w:hAnsi="仿宋" w:cs="楷体" w:hint="eastAsia"/>
          <w:color w:val="000000"/>
          <w:sz w:val="32"/>
          <w:szCs w:val="32"/>
        </w:rPr>
        <w:t>（2）事务所申请执法承诺的意愿有待观察</w:t>
      </w:r>
    </w:p>
    <w:p w14:paraId="7670F930" w14:textId="77777777" w:rsidR="00203670" w:rsidRDefault="003E3946">
      <w:pPr>
        <w:tabs>
          <w:tab w:val="left" w:pos="312"/>
        </w:tabs>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sz w:val="32"/>
          <w:szCs w:val="32"/>
        </w:rPr>
        <w:t>除保护投资者利益、提高执法效率外，执法承诺制度的适用有利于维护事务所的声誉，即通过</w:t>
      </w:r>
      <w:r>
        <w:rPr>
          <w:rFonts w:ascii="仿宋" w:eastAsia="仿宋" w:hAnsi="仿宋" w:cs="宋体" w:hint="eastAsia"/>
          <w:color w:val="000000"/>
          <w:sz w:val="32"/>
          <w:szCs w:val="32"/>
        </w:rPr>
        <w:t>中止调查避免行政处罚对事务所的声誉和将来的业务开展造成负面影响。但以下因素会影响事务所申请执法承诺的意愿。</w:t>
      </w:r>
    </w:p>
    <w:p w14:paraId="67148FB6" w14:textId="77777777" w:rsidR="00203670" w:rsidRDefault="003E3946">
      <w:pPr>
        <w:tabs>
          <w:tab w:val="left" w:pos="312"/>
        </w:tabs>
        <w:spacing w:line="560" w:lineRule="exact"/>
        <w:ind w:firstLineChars="200" w:firstLine="640"/>
        <w:rPr>
          <w:rFonts w:ascii="仿宋" w:eastAsia="仿宋" w:hAnsi="仿宋" w:cs="宋体" w:hint="eastAsia"/>
          <w:sz w:val="32"/>
          <w:szCs w:val="32"/>
        </w:rPr>
      </w:pPr>
      <w:r>
        <w:rPr>
          <w:rFonts w:ascii="仿宋" w:eastAsia="仿宋" w:hAnsi="仿宋" w:cs="宋体" w:hint="eastAsia"/>
          <w:color w:val="000000"/>
          <w:sz w:val="32"/>
          <w:szCs w:val="32"/>
        </w:rPr>
        <w:t>其一，与最终可能面临的行政罚款相比，适用执法承诺的经济成本并不低。</w:t>
      </w:r>
      <w:proofErr w:type="gramStart"/>
      <w:r>
        <w:rPr>
          <w:rFonts w:ascii="仿宋" w:eastAsia="仿宋" w:hAnsi="仿宋" w:cs="宋体" w:hint="eastAsia"/>
          <w:color w:val="000000"/>
          <w:sz w:val="32"/>
          <w:szCs w:val="32"/>
        </w:rPr>
        <w:t>如泽达易</w:t>
      </w:r>
      <w:proofErr w:type="gramEnd"/>
      <w:r>
        <w:rPr>
          <w:rFonts w:ascii="仿宋" w:eastAsia="仿宋" w:hAnsi="仿宋" w:cs="宋体" w:hint="eastAsia"/>
          <w:color w:val="000000"/>
          <w:sz w:val="32"/>
          <w:szCs w:val="32"/>
        </w:rPr>
        <w:t>盛案中，某事务所与另一中介</w:t>
      </w:r>
      <w:r>
        <w:rPr>
          <w:rFonts w:ascii="仿宋" w:eastAsia="仿宋" w:hAnsi="仿宋" w:cs="宋体" w:hint="eastAsia"/>
          <w:color w:val="000000"/>
          <w:sz w:val="32"/>
          <w:szCs w:val="32"/>
        </w:rPr>
        <w:lastRenderedPageBreak/>
        <w:t>机构</w:t>
      </w:r>
      <w:proofErr w:type="gramStart"/>
      <w:r>
        <w:rPr>
          <w:rFonts w:ascii="仿宋" w:eastAsia="仿宋" w:hAnsi="仿宋" w:cs="宋体" w:hint="eastAsia"/>
          <w:color w:val="000000"/>
          <w:sz w:val="32"/>
          <w:szCs w:val="32"/>
        </w:rPr>
        <w:t>除共同</w:t>
      </w:r>
      <w:proofErr w:type="gramEnd"/>
      <w:r>
        <w:rPr>
          <w:rFonts w:ascii="仿宋" w:eastAsia="仿宋" w:hAnsi="仿宋" w:cs="宋体" w:hint="eastAsia"/>
          <w:color w:val="000000"/>
          <w:sz w:val="32"/>
          <w:szCs w:val="32"/>
        </w:rPr>
        <w:t>承担2.88亿元的投资者赔偿责任外，还需分别缴纳惩戒性</w:t>
      </w:r>
      <w:proofErr w:type="gramStart"/>
      <w:r>
        <w:rPr>
          <w:rFonts w:ascii="仿宋" w:eastAsia="仿宋" w:hAnsi="仿宋" w:cs="宋体" w:hint="eastAsia"/>
          <w:color w:val="000000"/>
          <w:sz w:val="32"/>
          <w:szCs w:val="32"/>
        </w:rPr>
        <w:t>承诺金</w:t>
      </w:r>
      <w:proofErr w:type="gramEnd"/>
      <w:r>
        <w:rPr>
          <w:rFonts w:ascii="仿宋" w:eastAsia="仿宋" w:hAnsi="仿宋" w:cs="宋体" w:hint="eastAsia"/>
          <w:color w:val="000000"/>
          <w:sz w:val="32"/>
          <w:szCs w:val="32"/>
        </w:rPr>
        <w:t>1.05亿元和9261.13万元。根据市场估算，承诺金额达到审计业务收入的7-10倍左右。根据《证券期货行政执法当事人承诺制度实施办法》第7条的规定，当事人涉嫌证券期货违法行为情节严重、社会影响恶劣的，不适用执法承诺制度。该案对事务所适用执法承诺制度，其情节、性质应该不是太严重，即使处以行政处罚，也应当不会适用高倍数（如5倍以上，顶格10倍以下）的罚款。超过部分的</w:t>
      </w:r>
      <w:proofErr w:type="gramStart"/>
      <w:r>
        <w:rPr>
          <w:rFonts w:ascii="仿宋" w:eastAsia="仿宋" w:hAnsi="仿宋" w:cs="宋体" w:hint="eastAsia"/>
          <w:color w:val="000000"/>
          <w:sz w:val="32"/>
          <w:szCs w:val="32"/>
        </w:rPr>
        <w:t>承诺金</w:t>
      </w:r>
      <w:proofErr w:type="gramEnd"/>
      <w:r>
        <w:rPr>
          <w:rFonts w:ascii="仿宋" w:eastAsia="仿宋" w:hAnsi="仿宋" w:cs="宋体" w:hint="eastAsia"/>
          <w:color w:val="000000"/>
          <w:sz w:val="32"/>
          <w:szCs w:val="32"/>
        </w:rPr>
        <w:t>可以解释为另一种代价，即减少事务所因接受持续调查所耗费的时间成本、消除行政处罚记录的后续影响等，但过高的</w:t>
      </w:r>
      <w:proofErr w:type="gramStart"/>
      <w:r>
        <w:rPr>
          <w:rFonts w:ascii="仿宋" w:eastAsia="仿宋" w:hAnsi="仿宋" w:cs="宋体" w:hint="eastAsia"/>
          <w:color w:val="000000"/>
          <w:sz w:val="32"/>
          <w:szCs w:val="32"/>
        </w:rPr>
        <w:t>承诺金</w:t>
      </w:r>
      <w:proofErr w:type="gramEnd"/>
      <w:r>
        <w:rPr>
          <w:rFonts w:ascii="仿宋" w:eastAsia="仿宋" w:hAnsi="仿宋" w:cs="宋体" w:hint="eastAsia"/>
          <w:color w:val="000000"/>
          <w:sz w:val="32"/>
          <w:szCs w:val="32"/>
        </w:rPr>
        <w:t>应会影响事务所申请执法承诺的积极性，特别是对自身声誉不十分在乎的事务所而言，更是如此。</w:t>
      </w:r>
    </w:p>
    <w:p w14:paraId="1ADA1AE7" w14:textId="77777777" w:rsidR="00203670" w:rsidRDefault="003E3946">
      <w:pPr>
        <w:tabs>
          <w:tab w:val="left" w:pos="312"/>
        </w:tabs>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sz w:val="32"/>
          <w:szCs w:val="32"/>
        </w:rPr>
        <w:t>其二，</w:t>
      </w:r>
      <w:r>
        <w:rPr>
          <w:rFonts w:ascii="仿宋" w:eastAsia="仿宋" w:hAnsi="仿宋" w:cs="宋体" w:hint="eastAsia"/>
          <w:color w:val="000000"/>
          <w:sz w:val="32"/>
          <w:szCs w:val="32"/>
        </w:rPr>
        <w:t>只有在事务所有赔付能力、有责任心的情况下，执法承诺的适用才有现实可能性。</w:t>
      </w:r>
      <w:r>
        <w:rPr>
          <w:rFonts w:ascii="仿宋" w:eastAsia="仿宋" w:hAnsi="仿宋" w:cs="宋体" w:hint="eastAsia"/>
          <w:sz w:val="32"/>
          <w:szCs w:val="32"/>
        </w:rPr>
        <w:t>从市场情况来看，事务所对小额业务适用执法承诺制度的意愿较高。一方面，因小额业务收入不大、罚款的倍数效应不会特别明显，赔偿金、</w:t>
      </w:r>
      <w:proofErr w:type="gramStart"/>
      <w:r>
        <w:rPr>
          <w:rFonts w:ascii="仿宋" w:eastAsia="仿宋" w:hAnsi="仿宋" w:cs="宋体" w:hint="eastAsia"/>
          <w:sz w:val="32"/>
          <w:szCs w:val="32"/>
        </w:rPr>
        <w:t>承诺金</w:t>
      </w:r>
      <w:proofErr w:type="gramEnd"/>
      <w:r>
        <w:rPr>
          <w:rFonts w:ascii="仿宋" w:eastAsia="仿宋" w:hAnsi="仿宋" w:cs="宋体" w:hint="eastAsia"/>
          <w:sz w:val="32"/>
          <w:szCs w:val="32"/>
        </w:rPr>
        <w:t>的数额在可接受范围内。另一方面，花费上述赔偿金、</w:t>
      </w:r>
      <w:proofErr w:type="gramStart"/>
      <w:r>
        <w:rPr>
          <w:rFonts w:ascii="仿宋" w:eastAsia="仿宋" w:hAnsi="仿宋" w:cs="宋体" w:hint="eastAsia"/>
          <w:sz w:val="32"/>
          <w:szCs w:val="32"/>
        </w:rPr>
        <w:t>承诺金</w:t>
      </w:r>
      <w:proofErr w:type="gramEnd"/>
      <w:r>
        <w:rPr>
          <w:rFonts w:ascii="仿宋" w:eastAsia="仿宋" w:hAnsi="仿宋" w:cs="宋体" w:hint="eastAsia"/>
          <w:sz w:val="32"/>
          <w:szCs w:val="32"/>
        </w:rPr>
        <w:t>可以维护自身声誉，避免将来处罚记录对业务开展的巨大影响，实是“性价比”比较高的事情。</w:t>
      </w:r>
      <w:r>
        <w:rPr>
          <w:rFonts w:ascii="仿宋" w:eastAsia="仿宋" w:hAnsi="仿宋" w:cs="宋体" w:hint="eastAsia"/>
          <w:color w:val="000000"/>
          <w:sz w:val="32"/>
          <w:szCs w:val="32"/>
        </w:rPr>
        <w:t>将紫晶存储和</w:t>
      </w:r>
      <w:proofErr w:type="gramStart"/>
      <w:r>
        <w:rPr>
          <w:rFonts w:ascii="仿宋" w:eastAsia="仿宋" w:hAnsi="仿宋" w:cs="宋体" w:hint="eastAsia"/>
          <w:color w:val="000000"/>
          <w:sz w:val="32"/>
          <w:szCs w:val="32"/>
        </w:rPr>
        <w:t>泽达</w:t>
      </w:r>
      <w:proofErr w:type="gramEnd"/>
      <w:r>
        <w:rPr>
          <w:rFonts w:ascii="仿宋" w:eastAsia="仿宋" w:hAnsi="仿宋" w:cs="宋体" w:hint="eastAsia"/>
          <w:color w:val="000000"/>
          <w:sz w:val="32"/>
          <w:szCs w:val="32"/>
        </w:rPr>
        <w:t>易盛两起案例作为市场参照来看，有责任心且有能力承担九位数左右的</w:t>
      </w:r>
      <w:proofErr w:type="gramStart"/>
      <w:r>
        <w:rPr>
          <w:rFonts w:ascii="仿宋" w:eastAsia="仿宋" w:hAnsi="仿宋" w:cs="宋体" w:hint="eastAsia"/>
          <w:color w:val="000000"/>
          <w:sz w:val="32"/>
          <w:szCs w:val="32"/>
        </w:rPr>
        <w:t>承诺金</w:t>
      </w:r>
      <w:proofErr w:type="gramEnd"/>
      <w:r>
        <w:rPr>
          <w:rFonts w:ascii="仿宋" w:eastAsia="仿宋" w:hAnsi="仿宋" w:cs="宋体" w:hint="eastAsia"/>
          <w:color w:val="000000"/>
          <w:sz w:val="32"/>
          <w:szCs w:val="32"/>
        </w:rPr>
        <w:t>支出的事务所毕竟是少数，大多数事务所在面临如此高额的款项支出后，恐难以维持组织架构的稳定性。</w:t>
      </w:r>
    </w:p>
    <w:p w14:paraId="3C46C4F8" w14:textId="77777777" w:rsidR="00203670" w:rsidRDefault="003E3946">
      <w:pPr>
        <w:tabs>
          <w:tab w:val="left" w:pos="312"/>
        </w:tabs>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t>其三，事务所后续追偿的便利性也是影响该制度适用的</w:t>
      </w:r>
      <w:r>
        <w:rPr>
          <w:rFonts w:ascii="仿宋" w:eastAsia="仿宋" w:hAnsi="仿宋" w:cs="宋体" w:hint="eastAsia"/>
          <w:color w:val="000000"/>
          <w:sz w:val="32"/>
          <w:szCs w:val="32"/>
        </w:rPr>
        <w:lastRenderedPageBreak/>
        <w:t>重要</w:t>
      </w:r>
      <w:proofErr w:type="gramStart"/>
      <w:r>
        <w:rPr>
          <w:rFonts w:ascii="仿宋" w:eastAsia="仿宋" w:hAnsi="仿宋" w:cs="宋体" w:hint="eastAsia"/>
          <w:color w:val="000000"/>
          <w:sz w:val="32"/>
          <w:szCs w:val="32"/>
        </w:rPr>
        <w:t>考量</w:t>
      </w:r>
      <w:proofErr w:type="gramEnd"/>
      <w:r>
        <w:rPr>
          <w:rFonts w:ascii="仿宋" w:eastAsia="仿宋" w:hAnsi="仿宋" w:cs="宋体" w:hint="eastAsia"/>
          <w:color w:val="000000"/>
          <w:sz w:val="32"/>
          <w:szCs w:val="32"/>
        </w:rPr>
        <w:t>因素。在很多情况下，事务所也是为“首恶”（发行人、上市公司）、“帮凶”（上下游商户、相关金融机构等）的系统性串通造假所欺骗，只是在法律上承担中间责任或“过渡性”责任。其申请适用执法承诺制度的一个重要</w:t>
      </w:r>
      <w:proofErr w:type="gramStart"/>
      <w:r>
        <w:rPr>
          <w:rFonts w:ascii="仿宋" w:eastAsia="仿宋" w:hAnsi="仿宋" w:cs="宋体" w:hint="eastAsia"/>
          <w:color w:val="000000"/>
          <w:sz w:val="32"/>
          <w:szCs w:val="32"/>
        </w:rPr>
        <w:t>考量</w:t>
      </w:r>
      <w:proofErr w:type="gramEnd"/>
      <w:r>
        <w:rPr>
          <w:rFonts w:ascii="仿宋" w:eastAsia="仿宋" w:hAnsi="仿宋" w:cs="宋体" w:hint="eastAsia"/>
          <w:color w:val="000000"/>
          <w:sz w:val="32"/>
          <w:szCs w:val="32"/>
        </w:rPr>
        <w:t>是，是否有便利、有效率的渠道向首恶、配合造假的第三方追责。目前，司法实践的追偿规则、程序机制尚未理顺，会在很大程度上影响事务所申请执法承诺的积极性。</w:t>
      </w:r>
    </w:p>
    <w:p w14:paraId="01FF28A7" w14:textId="670F1BE7" w:rsidR="00203670" w:rsidRDefault="003E3946">
      <w:pPr>
        <w:spacing w:line="560" w:lineRule="exact"/>
        <w:ind w:firstLineChars="200" w:firstLine="640"/>
        <w:outlineLvl w:val="1"/>
        <w:rPr>
          <w:rFonts w:ascii="楷体" w:eastAsia="楷体" w:hAnsi="楷体" w:cs="宋体" w:hint="eastAsia"/>
          <w:bCs/>
          <w:color w:val="000000"/>
          <w:sz w:val="32"/>
          <w:szCs w:val="32"/>
        </w:rPr>
      </w:pPr>
      <w:bookmarkStart w:id="27" w:name="_Toc24661"/>
      <w:r>
        <w:rPr>
          <w:rFonts w:ascii="楷体" w:eastAsia="楷体" w:hAnsi="楷体" w:cs="楷体" w:hint="eastAsia"/>
          <w:bCs/>
          <w:sz w:val="32"/>
          <w:szCs w:val="32"/>
        </w:rPr>
        <w:t>（二）</w:t>
      </w:r>
      <w:r w:rsidR="00717230">
        <w:rPr>
          <w:rFonts w:ascii="楷体" w:eastAsia="楷体" w:hAnsi="楷体" w:cs="楷体" w:hint="eastAsia"/>
          <w:bCs/>
          <w:sz w:val="32"/>
          <w:szCs w:val="32"/>
        </w:rPr>
        <w:t>质量管理</w:t>
      </w:r>
      <w:r w:rsidR="00717230">
        <w:rPr>
          <w:rFonts w:ascii="楷体" w:eastAsia="楷体" w:hAnsi="楷体" w:cs="楷体"/>
          <w:bCs/>
          <w:sz w:val="32"/>
          <w:szCs w:val="32"/>
        </w:rPr>
        <w:t>体系</w:t>
      </w:r>
      <w:r>
        <w:rPr>
          <w:rFonts w:ascii="楷体" w:eastAsia="楷体" w:hAnsi="楷体" w:cs="楷体" w:hint="eastAsia"/>
          <w:bCs/>
          <w:sz w:val="32"/>
          <w:szCs w:val="32"/>
        </w:rPr>
        <w:t>建设的高度重视</w:t>
      </w:r>
      <w:bookmarkEnd w:id="27"/>
    </w:p>
    <w:p w14:paraId="34C737E1" w14:textId="481B18E3" w:rsidR="00203670" w:rsidRDefault="003E3946">
      <w:pPr>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t>近年来，监管部门高度重视事务所的</w:t>
      </w:r>
      <w:r w:rsidR="00717230">
        <w:rPr>
          <w:rFonts w:ascii="仿宋" w:eastAsia="仿宋" w:hAnsi="仿宋" w:cs="宋体" w:hint="eastAsia"/>
          <w:color w:val="000000"/>
          <w:sz w:val="32"/>
          <w:szCs w:val="32"/>
        </w:rPr>
        <w:t>质量管理</w:t>
      </w:r>
      <w:r>
        <w:rPr>
          <w:rFonts w:ascii="仿宋" w:eastAsia="仿宋" w:hAnsi="仿宋" w:cs="宋体" w:hint="eastAsia"/>
          <w:color w:val="000000"/>
          <w:sz w:val="32"/>
          <w:szCs w:val="32"/>
        </w:rPr>
        <w:t>合</w:t>
      </w:r>
      <w:proofErr w:type="gramStart"/>
      <w:r>
        <w:rPr>
          <w:rFonts w:ascii="仿宋" w:eastAsia="仿宋" w:hAnsi="仿宋" w:cs="宋体" w:hint="eastAsia"/>
          <w:color w:val="000000"/>
          <w:sz w:val="32"/>
          <w:szCs w:val="32"/>
        </w:rPr>
        <w:t>规</w:t>
      </w:r>
      <w:proofErr w:type="gramEnd"/>
      <w:r>
        <w:rPr>
          <w:rFonts w:ascii="仿宋" w:eastAsia="仿宋" w:hAnsi="仿宋" w:cs="宋体" w:hint="eastAsia"/>
          <w:color w:val="000000"/>
          <w:sz w:val="32"/>
          <w:szCs w:val="32"/>
        </w:rPr>
        <w:t>建设。不少事务所因内控合</w:t>
      </w:r>
      <w:proofErr w:type="gramStart"/>
      <w:r>
        <w:rPr>
          <w:rFonts w:ascii="仿宋" w:eastAsia="仿宋" w:hAnsi="仿宋" w:cs="宋体" w:hint="eastAsia"/>
          <w:color w:val="000000"/>
          <w:sz w:val="32"/>
          <w:szCs w:val="32"/>
        </w:rPr>
        <w:t>规</w:t>
      </w:r>
      <w:proofErr w:type="gramEnd"/>
      <w:r>
        <w:rPr>
          <w:rFonts w:ascii="仿宋" w:eastAsia="仿宋" w:hAnsi="仿宋" w:cs="宋体" w:hint="eastAsia"/>
          <w:color w:val="000000"/>
          <w:sz w:val="32"/>
          <w:szCs w:val="32"/>
        </w:rPr>
        <w:t>体系薄弱、执业质量</w:t>
      </w:r>
      <w:r w:rsidR="00717230">
        <w:rPr>
          <w:rFonts w:ascii="仿宋" w:eastAsia="仿宋" w:hAnsi="仿宋" w:cs="宋体" w:hint="eastAsia"/>
          <w:color w:val="000000"/>
          <w:sz w:val="32"/>
          <w:szCs w:val="32"/>
        </w:rPr>
        <w:t>管理</w:t>
      </w:r>
      <w:r>
        <w:rPr>
          <w:rFonts w:ascii="仿宋" w:eastAsia="仿宋" w:hAnsi="仿宋" w:cs="宋体" w:hint="eastAsia"/>
          <w:color w:val="000000"/>
          <w:sz w:val="32"/>
          <w:szCs w:val="32"/>
        </w:rPr>
        <w:t>不足而屡遭处罚，但如何通过监管处罚进一步实质性地完善事务所的</w:t>
      </w:r>
      <w:r w:rsidR="00717230">
        <w:rPr>
          <w:rFonts w:ascii="仿宋" w:eastAsia="仿宋" w:hAnsi="仿宋" w:cs="宋体" w:hint="eastAsia"/>
          <w:color w:val="000000"/>
          <w:sz w:val="32"/>
          <w:szCs w:val="32"/>
        </w:rPr>
        <w:t>质量管理</w:t>
      </w:r>
      <w:r>
        <w:rPr>
          <w:rFonts w:ascii="仿宋" w:eastAsia="仿宋" w:hAnsi="仿宋" w:cs="宋体" w:hint="eastAsia"/>
          <w:color w:val="000000"/>
          <w:sz w:val="32"/>
          <w:szCs w:val="32"/>
        </w:rPr>
        <w:t>体系建设则仍有待探索完善。</w:t>
      </w:r>
    </w:p>
    <w:p w14:paraId="59B788D5" w14:textId="77777777" w:rsidR="00203670" w:rsidRDefault="003E3946">
      <w:pPr>
        <w:spacing w:line="560" w:lineRule="exact"/>
        <w:ind w:firstLineChars="200" w:firstLine="640"/>
        <w:outlineLvl w:val="2"/>
        <w:rPr>
          <w:rFonts w:ascii="仿宋" w:eastAsia="仿宋" w:hAnsi="仿宋" w:cs="楷体" w:hint="eastAsia"/>
          <w:color w:val="000000"/>
          <w:sz w:val="32"/>
          <w:szCs w:val="32"/>
        </w:rPr>
      </w:pPr>
      <w:bookmarkStart w:id="28" w:name="_Toc3385"/>
      <w:r>
        <w:rPr>
          <w:rFonts w:ascii="仿宋" w:eastAsia="仿宋" w:hAnsi="仿宋" w:cs="楷体" w:hint="eastAsia"/>
          <w:color w:val="000000"/>
          <w:sz w:val="32"/>
          <w:szCs w:val="32"/>
        </w:rPr>
        <w:t>1.处罚情况</w:t>
      </w:r>
      <w:bookmarkEnd w:id="28"/>
    </w:p>
    <w:p w14:paraId="710938E7" w14:textId="0F9C6111" w:rsidR="00203670" w:rsidRDefault="003E3946">
      <w:pPr>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t>从公布的行政处罚案例来看，事务所在</w:t>
      </w:r>
      <w:r w:rsidR="005B0792">
        <w:rPr>
          <w:rFonts w:ascii="仿宋" w:eastAsia="仿宋" w:hAnsi="仿宋" w:cs="宋体" w:hint="eastAsia"/>
          <w:color w:val="000000"/>
          <w:sz w:val="32"/>
          <w:szCs w:val="32"/>
        </w:rPr>
        <w:t>质量管理</w:t>
      </w:r>
      <w:r w:rsidR="005B0792">
        <w:rPr>
          <w:rFonts w:ascii="仿宋" w:eastAsia="仿宋" w:hAnsi="仿宋" w:cs="宋体"/>
          <w:color w:val="000000"/>
          <w:sz w:val="32"/>
          <w:szCs w:val="32"/>
        </w:rPr>
        <w:t>体系</w:t>
      </w:r>
      <w:r>
        <w:rPr>
          <w:rFonts w:ascii="仿宋" w:eastAsia="仿宋" w:hAnsi="仿宋" w:cs="宋体" w:hint="eastAsia"/>
          <w:color w:val="000000"/>
          <w:sz w:val="32"/>
          <w:szCs w:val="32"/>
        </w:rPr>
        <w:t>建设方面存在以下问题，严重损害了审计的公信力。</w:t>
      </w:r>
    </w:p>
    <w:p w14:paraId="09D8FAD8" w14:textId="77777777" w:rsidR="00203670" w:rsidRDefault="003E3946">
      <w:pPr>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t>（1）审计底稿缺失</w:t>
      </w:r>
    </w:p>
    <w:p w14:paraId="641BECEF" w14:textId="77777777" w:rsidR="00203670" w:rsidRDefault="003E3946">
      <w:pPr>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t>如湖南某事务所2024年1月至7月出具1977份审计报告无工作底稿，另有1213份审计报告仅存部分底稿。湖南省财政厅</w:t>
      </w:r>
      <w:proofErr w:type="gramStart"/>
      <w:r>
        <w:rPr>
          <w:rFonts w:ascii="仿宋" w:eastAsia="仿宋" w:hAnsi="仿宋" w:cs="宋体" w:hint="eastAsia"/>
          <w:color w:val="000000"/>
          <w:sz w:val="32"/>
          <w:szCs w:val="32"/>
        </w:rPr>
        <w:t>作出</w:t>
      </w:r>
      <w:proofErr w:type="gramEnd"/>
      <w:r>
        <w:rPr>
          <w:rFonts w:ascii="仿宋" w:eastAsia="仿宋" w:hAnsi="仿宋" w:cs="宋体" w:hint="eastAsia"/>
          <w:color w:val="000000"/>
          <w:sz w:val="32"/>
          <w:szCs w:val="32"/>
        </w:rPr>
        <w:t>吊销执业许可、没收违法所得59.28万元并处以5倍罚款296.4万元的处罚决定；重庆某事务所2022年至2023年出具的176份审计报告无底稿，重庆市财政局对该所</w:t>
      </w:r>
      <w:proofErr w:type="gramStart"/>
      <w:r>
        <w:rPr>
          <w:rFonts w:ascii="仿宋" w:eastAsia="仿宋" w:hAnsi="仿宋" w:cs="宋体" w:hint="eastAsia"/>
          <w:color w:val="000000"/>
          <w:sz w:val="32"/>
          <w:szCs w:val="32"/>
        </w:rPr>
        <w:t>作出</w:t>
      </w:r>
      <w:proofErr w:type="gramEnd"/>
      <w:r>
        <w:rPr>
          <w:rFonts w:ascii="仿宋" w:eastAsia="仿宋" w:hAnsi="仿宋" w:cs="宋体" w:hint="eastAsia"/>
          <w:color w:val="000000"/>
          <w:sz w:val="32"/>
          <w:szCs w:val="32"/>
        </w:rPr>
        <w:t>警告、吊销执业许可、没收123.69万元、罚款31.5万元等处罚。</w:t>
      </w:r>
    </w:p>
    <w:p w14:paraId="1E5D7D12" w14:textId="77777777" w:rsidR="00203670" w:rsidRDefault="003E3946">
      <w:pPr>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t>（2）未</w:t>
      </w:r>
      <w:proofErr w:type="gramStart"/>
      <w:r>
        <w:rPr>
          <w:rFonts w:ascii="仿宋" w:eastAsia="仿宋" w:hAnsi="仿宋" w:cs="宋体" w:hint="eastAsia"/>
          <w:color w:val="000000"/>
          <w:sz w:val="32"/>
          <w:szCs w:val="32"/>
        </w:rPr>
        <w:t>恰当履行</w:t>
      </w:r>
      <w:proofErr w:type="gramEnd"/>
      <w:r>
        <w:rPr>
          <w:rFonts w:ascii="仿宋" w:eastAsia="仿宋" w:hAnsi="仿宋" w:cs="宋体" w:hint="eastAsia"/>
          <w:color w:val="000000"/>
          <w:sz w:val="32"/>
          <w:szCs w:val="32"/>
        </w:rPr>
        <w:t>关键审计程序</w:t>
      </w:r>
    </w:p>
    <w:p w14:paraId="0393D2C4" w14:textId="77777777" w:rsidR="00203670" w:rsidRDefault="003E3946">
      <w:pPr>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lastRenderedPageBreak/>
        <w:t>如</w:t>
      </w:r>
      <w:r>
        <w:rPr>
          <w:rFonts w:ascii="仿宋" w:eastAsia="仿宋" w:hAnsi="仿宋" w:cs="宋体"/>
          <w:color w:val="000000"/>
          <w:sz w:val="32"/>
          <w:szCs w:val="32"/>
        </w:rPr>
        <w:t>安徽</w:t>
      </w:r>
      <w:r>
        <w:rPr>
          <w:rFonts w:ascii="仿宋" w:eastAsia="仿宋" w:hAnsi="仿宋" w:cs="宋体" w:hint="eastAsia"/>
          <w:color w:val="000000"/>
          <w:sz w:val="32"/>
          <w:szCs w:val="32"/>
        </w:rPr>
        <w:t>某事务所</w:t>
      </w:r>
      <w:r>
        <w:rPr>
          <w:rFonts w:ascii="仿宋" w:eastAsia="仿宋" w:hAnsi="仿宋" w:cs="宋体"/>
          <w:color w:val="000000"/>
          <w:sz w:val="32"/>
          <w:szCs w:val="32"/>
        </w:rPr>
        <w:t>2022年和2023年出具的26份审计报告未履行必要的审计程序</w:t>
      </w:r>
      <w:r>
        <w:rPr>
          <w:rFonts w:ascii="仿宋" w:eastAsia="仿宋" w:hAnsi="仿宋" w:cs="宋体" w:hint="eastAsia"/>
          <w:color w:val="000000"/>
          <w:sz w:val="32"/>
          <w:szCs w:val="32"/>
        </w:rPr>
        <w:t>，被处以</w:t>
      </w:r>
      <w:r>
        <w:rPr>
          <w:rFonts w:ascii="仿宋" w:eastAsia="仿宋" w:hAnsi="仿宋" w:cs="宋体"/>
          <w:color w:val="000000"/>
          <w:sz w:val="32"/>
          <w:szCs w:val="32"/>
        </w:rPr>
        <w:t>警告、吊销执业许可、没收违法所得8.501万元</w:t>
      </w:r>
      <w:r>
        <w:rPr>
          <w:rFonts w:ascii="仿宋" w:eastAsia="仿宋" w:hAnsi="仿宋" w:cs="宋体" w:hint="eastAsia"/>
          <w:color w:val="000000"/>
          <w:sz w:val="32"/>
          <w:szCs w:val="32"/>
        </w:rPr>
        <w:t>的处罚；</w:t>
      </w:r>
      <w:r>
        <w:rPr>
          <w:rFonts w:ascii="仿宋" w:eastAsia="仿宋" w:hAnsi="仿宋" w:cs="宋体"/>
          <w:color w:val="000000"/>
          <w:sz w:val="32"/>
          <w:szCs w:val="32"/>
        </w:rPr>
        <w:t>广西</w:t>
      </w:r>
      <w:r>
        <w:rPr>
          <w:rFonts w:ascii="仿宋" w:eastAsia="仿宋" w:hAnsi="仿宋" w:cs="宋体" w:hint="eastAsia"/>
          <w:color w:val="000000"/>
          <w:sz w:val="32"/>
          <w:szCs w:val="32"/>
        </w:rPr>
        <w:t>某事务所</w:t>
      </w:r>
      <w:r>
        <w:rPr>
          <w:rFonts w:ascii="仿宋" w:eastAsia="仿宋" w:hAnsi="仿宋" w:cs="宋体"/>
          <w:color w:val="000000"/>
          <w:sz w:val="32"/>
          <w:szCs w:val="32"/>
        </w:rPr>
        <w:t>2022年至2023年出具35份报告未履行必要程序，被暂停经营9个月并罚款13.63万元，</w:t>
      </w:r>
      <w:r>
        <w:rPr>
          <w:rFonts w:ascii="仿宋" w:eastAsia="仿宋" w:hAnsi="仿宋" w:cs="宋体" w:hint="eastAsia"/>
          <w:color w:val="000000"/>
          <w:sz w:val="32"/>
          <w:szCs w:val="32"/>
        </w:rPr>
        <w:t>相关注册</w:t>
      </w:r>
      <w:r>
        <w:rPr>
          <w:rFonts w:ascii="仿宋" w:eastAsia="仿宋" w:hAnsi="仿宋" w:cs="宋体"/>
          <w:color w:val="000000"/>
          <w:sz w:val="32"/>
          <w:szCs w:val="32"/>
        </w:rPr>
        <w:t>会计师被暂停执业。</w:t>
      </w:r>
      <w:r>
        <w:rPr>
          <w:rFonts w:ascii="仿宋" w:eastAsia="仿宋" w:hAnsi="仿宋" w:cs="宋体" w:hint="eastAsia"/>
          <w:color w:val="000000"/>
          <w:sz w:val="32"/>
          <w:szCs w:val="32"/>
        </w:rPr>
        <w:t>陕西某事务所2022年至2023年出具214份报告未执行风险评估审计程序，其中198份审计报告既未实施实质性审计程序也无审计工作底稿，陕西省财政厅对其</w:t>
      </w:r>
      <w:proofErr w:type="gramStart"/>
      <w:r>
        <w:rPr>
          <w:rFonts w:ascii="仿宋" w:eastAsia="仿宋" w:hAnsi="仿宋" w:cs="宋体" w:hint="eastAsia"/>
          <w:color w:val="000000"/>
          <w:sz w:val="32"/>
          <w:szCs w:val="32"/>
        </w:rPr>
        <w:t>作出</w:t>
      </w:r>
      <w:proofErr w:type="gramEnd"/>
      <w:r>
        <w:rPr>
          <w:rFonts w:ascii="仿宋" w:eastAsia="仿宋" w:hAnsi="仿宋" w:cs="宋体" w:hint="eastAsia"/>
          <w:color w:val="000000"/>
          <w:sz w:val="32"/>
          <w:szCs w:val="32"/>
        </w:rPr>
        <w:t>吊销执业许可，罚款185.67万元的处罚。</w:t>
      </w:r>
    </w:p>
    <w:p w14:paraId="590957A8" w14:textId="77777777" w:rsidR="00203670" w:rsidRDefault="003E3946">
      <w:pPr>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t>（3）未保持独立性</w:t>
      </w:r>
    </w:p>
    <w:p w14:paraId="5674B98C" w14:textId="77777777" w:rsidR="00203670" w:rsidRDefault="003E3946">
      <w:pPr>
        <w:spacing w:line="560" w:lineRule="exact"/>
        <w:ind w:firstLineChars="200" w:firstLine="640"/>
        <w:rPr>
          <w:rFonts w:ascii="仿宋" w:eastAsia="仿宋" w:hAnsi="仿宋" w:cs="宋体" w:hint="eastAsia"/>
          <w:color w:val="E54C5E" w:themeColor="accent6"/>
          <w:sz w:val="32"/>
          <w:szCs w:val="32"/>
        </w:rPr>
      </w:pPr>
      <w:r>
        <w:rPr>
          <w:rFonts w:ascii="仿宋" w:eastAsia="仿宋" w:hAnsi="仿宋" w:cs="宋体" w:hint="eastAsia"/>
          <w:color w:val="000000"/>
          <w:sz w:val="32"/>
          <w:szCs w:val="32"/>
        </w:rPr>
        <w:t>存在独立性管理机制不完善、独立性管理不规范情况，如某事务所仅依赖项目组成员签署独立性声明，缺乏必要的核查与监控机制，甚至出现独立性声明签署不完整的情况，导致制度形同虚设。更严重的是，有个别从业人员在项目承做期间买卖所审公司的股票，或其合伙人及主要近亲属违规持股，突破独立性底线。另有少数事务所过于依赖客户关系，缺乏职业怀疑，审计意见偏离基本事实。典型如深圳某事务所在*ST</w:t>
      </w:r>
      <w:proofErr w:type="gramStart"/>
      <w:r>
        <w:rPr>
          <w:rFonts w:ascii="仿宋" w:eastAsia="仿宋" w:hAnsi="仿宋" w:cs="宋体" w:hint="eastAsia"/>
          <w:color w:val="000000"/>
          <w:sz w:val="32"/>
          <w:szCs w:val="32"/>
        </w:rPr>
        <w:t>新亿年报</w:t>
      </w:r>
      <w:proofErr w:type="gramEnd"/>
      <w:r>
        <w:rPr>
          <w:rFonts w:ascii="仿宋" w:eastAsia="仿宋" w:hAnsi="仿宋" w:cs="宋体" w:hint="eastAsia"/>
          <w:color w:val="000000"/>
          <w:sz w:val="32"/>
          <w:szCs w:val="32"/>
        </w:rPr>
        <w:t>审计中，明知该项目已被其他事务所拒接，仍与上市公司签订“抽屉协议”，承诺</w:t>
      </w:r>
      <w:proofErr w:type="gramStart"/>
      <w:r>
        <w:rPr>
          <w:rFonts w:ascii="仿宋" w:eastAsia="仿宋" w:hAnsi="仿宋" w:cs="宋体" w:hint="eastAsia"/>
          <w:color w:val="000000"/>
          <w:sz w:val="32"/>
          <w:szCs w:val="32"/>
        </w:rPr>
        <w:t>不</w:t>
      </w:r>
      <w:proofErr w:type="gramEnd"/>
      <w:r>
        <w:rPr>
          <w:rFonts w:ascii="仿宋" w:eastAsia="仿宋" w:hAnsi="仿宋" w:cs="宋体" w:hint="eastAsia"/>
          <w:color w:val="000000"/>
          <w:sz w:val="32"/>
          <w:szCs w:val="32"/>
        </w:rPr>
        <w:t>出具否定或无法表示意见，并约定若受监管处罚由公司予以补偿，严重丧失审计独立性。后该所受到证监会“没一罚六”处罚，相关注册会计师被处以长期市场禁入。</w:t>
      </w:r>
      <w:r>
        <w:rPr>
          <w:rStyle w:val="af3"/>
          <w:rFonts w:ascii="仿宋" w:eastAsia="仿宋" w:hAnsi="仿宋" w:cs="宋体" w:hint="eastAsia"/>
          <w:color w:val="000000" w:themeColor="text1"/>
          <w:sz w:val="32"/>
          <w:szCs w:val="32"/>
        </w:rPr>
        <w:footnoteReference w:id="18"/>
      </w:r>
    </w:p>
    <w:p w14:paraId="56FF10D1"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（4）质量管理存在缺陷</w:t>
      </w:r>
    </w:p>
    <w:p w14:paraId="1234FD6B" w14:textId="77777777" w:rsidR="00203670" w:rsidRDefault="003E3946">
      <w:pPr>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themeColor="text1"/>
          <w:sz w:val="32"/>
          <w:szCs w:val="32"/>
        </w:rPr>
        <w:t>上海证监局2025年的会计监管通讯</w:t>
      </w:r>
      <w:r>
        <w:rPr>
          <w:rFonts w:ascii="仿宋" w:eastAsia="仿宋" w:hAnsi="仿宋" w:cs="宋体" w:hint="eastAsia"/>
          <w:sz w:val="32"/>
          <w:szCs w:val="32"/>
        </w:rPr>
        <w:t>明确指出被检查事</w:t>
      </w:r>
      <w:r>
        <w:rPr>
          <w:rFonts w:ascii="仿宋" w:eastAsia="仿宋" w:hAnsi="仿宋" w:cs="宋体" w:hint="eastAsia"/>
          <w:sz w:val="32"/>
          <w:szCs w:val="32"/>
        </w:rPr>
        <w:lastRenderedPageBreak/>
        <w:t>务所在质量管理方面的缺陷，具有很大的典型性、代表性。</w:t>
      </w:r>
      <w:r>
        <w:rPr>
          <w:rFonts w:ascii="仿宋" w:eastAsia="仿宋" w:hAnsi="仿宋" w:cs="宋体" w:hint="eastAsia"/>
          <w:color w:val="000000" w:themeColor="text1"/>
          <w:sz w:val="32"/>
          <w:szCs w:val="32"/>
        </w:rPr>
        <w:t>首先，普遍存在质量管理体系中的风险评估程序不完善。未针对质量管理要素设定具体的质量目标，未根据事务所和业务的性质、具体情况识别对质量目标产生的不利影响并确定是否构成质量风险，从而设计具体的应对措施。其次，业务承接及保持管理不规范。未建立独立部门或人员对特定项目分类和风险等级的审核机制。最后，档案管理不规范，未健全审计档案管理制度，未明确一名负责人分管审计档案工作；分所审计档案管理人员未接受档案管理业务培训；部分审计工作底稿档案未妥善保存。</w:t>
      </w:r>
      <w:r>
        <w:rPr>
          <w:rStyle w:val="af3"/>
          <w:rFonts w:ascii="仿宋" w:eastAsia="仿宋" w:hAnsi="仿宋" w:cs="宋体" w:hint="eastAsia"/>
          <w:color w:val="000000" w:themeColor="text1"/>
          <w:sz w:val="32"/>
          <w:szCs w:val="32"/>
        </w:rPr>
        <w:footnoteReference w:id="19"/>
      </w:r>
    </w:p>
    <w:p w14:paraId="15EA9D08" w14:textId="77777777" w:rsidR="00203670" w:rsidRDefault="003E3946">
      <w:pPr>
        <w:spacing w:line="560" w:lineRule="exact"/>
        <w:ind w:firstLineChars="200" w:firstLine="640"/>
        <w:outlineLvl w:val="2"/>
        <w:rPr>
          <w:rFonts w:ascii="仿宋" w:eastAsia="仿宋" w:hAnsi="仿宋" w:cs="楷体" w:hint="eastAsia"/>
          <w:color w:val="000000"/>
          <w:sz w:val="32"/>
          <w:szCs w:val="32"/>
        </w:rPr>
      </w:pPr>
      <w:bookmarkStart w:id="29" w:name="_Toc27544"/>
      <w:r>
        <w:rPr>
          <w:rFonts w:ascii="仿宋" w:eastAsia="仿宋" w:hAnsi="仿宋" w:cs="楷体" w:hint="eastAsia"/>
          <w:color w:val="000000"/>
          <w:sz w:val="32"/>
          <w:szCs w:val="32"/>
        </w:rPr>
        <w:t>2.相关问题</w:t>
      </w:r>
      <w:bookmarkEnd w:id="29"/>
    </w:p>
    <w:p w14:paraId="6497075B" w14:textId="3F85440E" w:rsidR="00203670" w:rsidRDefault="003E3946">
      <w:pPr>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t>据上，不少事务所存在审计底稿缺失、未</w:t>
      </w:r>
      <w:proofErr w:type="gramStart"/>
      <w:r>
        <w:rPr>
          <w:rFonts w:ascii="仿宋" w:eastAsia="仿宋" w:hAnsi="仿宋" w:cs="宋体" w:hint="eastAsia"/>
          <w:color w:val="000000"/>
          <w:sz w:val="32"/>
          <w:szCs w:val="32"/>
        </w:rPr>
        <w:t>恰当履行</w:t>
      </w:r>
      <w:proofErr w:type="gramEnd"/>
      <w:r>
        <w:rPr>
          <w:rFonts w:ascii="仿宋" w:eastAsia="仿宋" w:hAnsi="仿宋" w:cs="宋体" w:hint="eastAsia"/>
          <w:color w:val="000000"/>
          <w:sz w:val="32"/>
          <w:szCs w:val="32"/>
        </w:rPr>
        <w:t>关键审计程序、</w:t>
      </w:r>
      <w:r>
        <w:rPr>
          <w:rFonts w:ascii="仿宋" w:eastAsia="仿宋" w:hAnsi="仿宋" w:cs="宋体" w:hint="eastAsia"/>
          <w:color w:val="000000" w:themeColor="text1"/>
          <w:sz w:val="32"/>
          <w:szCs w:val="32"/>
        </w:rPr>
        <w:t>独立性管理不规范</w:t>
      </w:r>
      <w:r>
        <w:rPr>
          <w:rFonts w:ascii="仿宋" w:eastAsia="仿宋" w:hAnsi="仿宋" w:cs="宋体" w:hint="eastAsia"/>
          <w:color w:val="000000"/>
          <w:sz w:val="32"/>
          <w:szCs w:val="32"/>
        </w:rPr>
        <w:t>问题，</w:t>
      </w:r>
      <w:r>
        <w:rPr>
          <w:rFonts w:ascii="仿宋" w:eastAsia="仿宋" w:hAnsi="仿宋" w:cs="宋体" w:hint="eastAsia"/>
          <w:sz w:val="32"/>
          <w:szCs w:val="32"/>
        </w:rPr>
        <w:t>甚至涉及上千份报告，表明其违规并非偶发性疏漏，而是大规模、系统性问题，暴露出</w:t>
      </w:r>
      <w:r>
        <w:rPr>
          <w:rFonts w:ascii="仿宋" w:eastAsia="仿宋" w:hAnsi="仿宋" w:cs="宋体" w:hint="eastAsia"/>
          <w:color w:val="000000"/>
          <w:sz w:val="32"/>
          <w:szCs w:val="32"/>
        </w:rPr>
        <w:t>事务所在</w:t>
      </w:r>
      <w:r w:rsidR="005B0792">
        <w:rPr>
          <w:rFonts w:ascii="仿宋" w:eastAsia="仿宋" w:hAnsi="仿宋" w:cs="宋体" w:hint="eastAsia"/>
          <w:color w:val="000000"/>
          <w:sz w:val="32"/>
          <w:szCs w:val="32"/>
        </w:rPr>
        <w:t>质量管理</w:t>
      </w:r>
      <w:r>
        <w:rPr>
          <w:rFonts w:ascii="仿宋" w:eastAsia="仿宋" w:hAnsi="仿宋" w:cs="宋体" w:hint="eastAsia"/>
          <w:color w:val="000000"/>
          <w:sz w:val="32"/>
          <w:szCs w:val="32"/>
        </w:rPr>
        <w:t>方面存在很大缺陷。这也意味着，监管部门加强日常检查，采取切实有效的措施防患于未然，特别是指导、督促事务所完善</w:t>
      </w:r>
      <w:r w:rsidR="005B0792">
        <w:rPr>
          <w:rFonts w:ascii="仿宋" w:eastAsia="仿宋" w:hAnsi="仿宋" w:cs="宋体" w:hint="eastAsia"/>
          <w:sz w:val="32"/>
          <w:szCs w:val="32"/>
        </w:rPr>
        <w:t>质量管理</w:t>
      </w:r>
      <w:r>
        <w:rPr>
          <w:rFonts w:ascii="仿宋" w:eastAsia="仿宋" w:hAnsi="仿宋" w:cs="宋体" w:hint="eastAsia"/>
          <w:sz w:val="32"/>
          <w:szCs w:val="32"/>
        </w:rPr>
        <w:t>机制，</w:t>
      </w:r>
      <w:r>
        <w:rPr>
          <w:rFonts w:ascii="仿宋" w:eastAsia="仿宋" w:hAnsi="仿宋" w:cs="宋体" w:hint="eastAsia"/>
          <w:color w:val="000000"/>
          <w:sz w:val="32"/>
          <w:szCs w:val="32"/>
        </w:rPr>
        <w:t>显得尤为迫切重要。对此，尚面临以下问题。</w:t>
      </w:r>
    </w:p>
    <w:p w14:paraId="602AAB93" w14:textId="5CA0B65A" w:rsidR="0038460C" w:rsidRDefault="0038460C">
      <w:pPr>
        <w:spacing w:line="560" w:lineRule="exact"/>
        <w:ind w:firstLineChars="200" w:firstLine="640"/>
        <w:rPr>
          <w:rFonts w:ascii="仿宋" w:eastAsia="仿宋" w:hAnsi="仿宋" w:cs="宋体" w:hint="eastAsia"/>
          <w:color w:val="000000"/>
          <w:sz w:val="32"/>
          <w:szCs w:val="32"/>
        </w:rPr>
      </w:pPr>
      <w:r w:rsidRPr="0038460C">
        <w:rPr>
          <w:rFonts w:ascii="仿宋" w:eastAsia="仿宋" w:hAnsi="仿宋" w:cs="宋体" w:hint="eastAsia"/>
          <w:color w:val="000000"/>
          <w:sz w:val="32"/>
          <w:szCs w:val="32"/>
        </w:rPr>
        <w:t>其一，事务所质量管理合</w:t>
      </w:r>
      <w:proofErr w:type="gramStart"/>
      <w:r w:rsidRPr="0038460C">
        <w:rPr>
          <w:rFonts w:ascii="仿宋" w:eastAsia="仿宋" w:hAnsi="仿宋" w:cs="宋体" w:hint="eastAsia"/>
          <w:color w:val="000000"/>
          <w:sz w:val="32"/>
          <w:szCs w:val="32"/>
        </w:rPr>
        <w:t>规</w:t>
      </w:r>
      <w:proofErr w:type="gramEnd"/>
      <w:r w:rsidRPr="0038460C">
        <w:rPr>
          <w:rFonts w:ascii="仿宋" w:eastAsia="仿宋" w:hAnsi="仿宋" w:cs="宋体" w:hint="eastAsia"/>
          <w:color w:val="000000"/>
          <w:sz w:val="32"/>
          <w:szCs w:val="32"/>
        </w:rPr>
        <w:t>建设未充分落实。与国有企业、金融机构相比，事务所在合</w:t>
      </w:r>
      <w:proofErr w:type="gramStart"/>
      <w:r w:rsidRPr="0038460C">
        <w:rPr>
          <w:rFonts w:ascii="仿宋" w:eastAsia="仿宋" w:hAnsi="仿宋" w:cs="宋体" w:hint="eastAsia"/>
          <w:color w:val="000000"/>
          <w:sz w:val="32"/>
          <w:szCs w:val="32"/>
        </w:rPr>
        <w:t>规</w:t>
      </w:r>
      <w:proofErr w:type="gramEnd"/>
      <w:r w:rsidRPr="0038460C">
        <w:rPr>
          <w:rFonts w:ascii="仿宋" w:eastAsia="仿宋" w:hAnsi="仿宋" w:cs="宋体" w:hint="eastAsia"/>
          <w:color w:val="000000"/>
          <w:sz w:val="32"/>
          <w:szCs w:val="32"/>
        </w:rPr>
        <w:t>管理领域的制度基础明显滞后。依据《中央企业合规管理办法》及各集团内部制度，国有企业普遍建立了党委领导的治理体系；金融机构则依据《金融机构合规管理办法》等规章，形成了以首席合</w:t>
      </w:r>
      <w:proofErr w:type="gramStart"/>
      <w:r w:rsidRPr="0038460C">
        <w:rPr>
          <w:rFonts w:ascii="仿宋" w:eastAsia="仿宋" w:hAnsi="仿宋" w:cs="宋体" w:hint="eastAsia"/>
          <w:color w:val="000000"/>
          <w:sz w:val="32"/>
          <w:szCs w:val="32"/>
        </w:rPr>
        <w:t>规</w:t>
      </w:r>
      <w:proofErr w:type="gramEnd"/>
      <w:r w:rsidRPr="0038460C">
        <w:rPr>
          <w:rFonts w:ascii="仿宋" w:eastAsia="仿宋" w:hAnsi="仿宋" w:cs="宋体" w:hint="eastAsia"/>
          <w:color w:val="000000"/>
          <w:sz w:val="32"/>
          <w:szCs w:val="32"/>
        </w:rPr>
        <w:t>官为</w:t>
      </w:r>
      <w:r w:rsidRPr="0038460C">
        <w:rPr>
          <w:rFonts w:ascii="仿宋" w:eastAsia="仿宋" w:hAnsi="仿宋" w:cs="宋体" w:hint="eastAsia"/>
          <w:color w:val="000000"/>
          <w:sz w:val="32"/>
          <w:szCs w:val="32"/>
        </w:rPr>
        <w:lastRenderedPageBreak/>
        <w:t>核心的组织架构，有效防控合</w:t>
      </w:r>
      <w:proofErr w:type="gramStart"/>
      <w:r w:rsidRPr="0038460C">
        <w:rPr>
          <w:rFonts w:ascii="仿宋" w:eastAsia="仿宋" w:hAnsi="仿宋" w:cs="宋体" w:hint="eastAsia"/>
          <w:color w:val="000000"/>
          <w:sz w:val="32"/>
          <w:szCs w:val="32"/>
        </w:rPr>
        <w:t>规</w:t>
      </w:r>
      <w:proofErr w:type="gramEnd"/>
      <w:r w:rsidRPr="0038460C">
        <w:rPr>
          <w:rFonts w:ascii="仿宋" w:eastAsia="仿宋" w:hAnsi="仿宋" w:cs="宋体" w:hint="eastAsia"/>
          <w:color w:val="000000"/>
          <w:sz w:val="32"/>
          <w:szCs w:val="32"/>
        </w:rPr>
        <w:t>风险，依法合</w:t>
      </w:r>
      <w:proofErr w:type="gramStart"/>
      <w:r w:rsidRPr="0038460C">
        <w:rPr>
          <w:rFonts w:ascii="仿宋" w:eastAsia="仿宋" w:hAnsi="仿宋" w:cs="宋体" w:hint="eastAsia"/>
          <w:color w:val="000000"/>
          <w:sz w:val="32"/>
          <w:szCs w:val="32"/>
        </w:rPr>
        <w:t>规</w:t>
      </w:r>
      <w:proofErr w:type="gramEnd"/>
      <w:r w:rsidRPr="0038460C">
        <w:rPr>
          <w:rFonts w:ascii="仿宋" w:eastAsia="仿宋" w:hAnsi="仿宋" w:cs="宋体" w:hint="eastAsia"/>
          <w:color w:val="000000"/>
          <w:sz w:val="32"/>
          <w:szCs w:val="32"/>
        </w:rPr>
        <w:t>经营管理水平得以提升。现行事务所合</w:t>
      </w:r>
      <w:proofErr w:type="gramStart"/>
      <w:r w:rsidRPr="0038460C">
        <w:rPr>
          <w:rFonts w:ascii="仿宋" w:eastAsia="仿宋" w:hAnsi="仿宋" w:cs="宋体" w:hint="eastAsia"/>
          <w:color w:val="000000"/>
          <w:sz w:val="32"/>
          <w:szCs w:val="32"/>
        </w:rPr>
        <w:t>规</w:t>
      </w:r>
      <w:proofErr w:type="gramEnd"/>
      <w:r w:rsidRPr="0038460C">
        <w:rPr>
          <w:rFonts w:ascii="仿宋" w:eastAsia="仿宋" w:hAnsi="仿宋" w:cs="宋体" w:hint="eastAsia"/>
          <w:color w:val="000000"/>
          <w:sz w:val="32"/>
          <w:szCs w:val="32"/>
        </w:rPr>
        <w:t>管理的相关要求虽然已经集中体现在《注册会计师法》《会计师事务所质量管理准则第5101号》《关于加强会计师事务所基础性标准体系建设的指导意见》以及《会计师事务所一体化管理办法》中。但多数事务所对“合规”概念的</w:t>
      </w:r>
      <w:proofErr w:type="gramStart"/>
      <w:r w:rsidRPr="0038460C">
        <w:rPr>
          <w:rFonts w:ascii="仿宋" w:eastAsia="仿宋" w:hAnsi="仿宋" w:cs="宋体" w:hint="eastAsia"/>
          <w:color w:val="000000"/>
          <w:sz w:val="32"/>
          <w:szCs w:val="32"/>
        </w:rPr>
        <w:t>理解仍</w:t>
      </w:r>
      <w:proofErr w:type="gramEnd"/>
      <w:r w:rsidRPr="0038460C">
        <w:rPr>
          <w:rFonts w:ascii="仿宋" w:eastAsia="仿宋" w:hAnsi="仿宋" w:cs="宋体" w:hint="eastAsia"/>
          <w:color w:val="000000"/>
          <w:sz w:val="32"/>
          <w:szCs w:val="32"/>
        </w:rPr>
        <w:t>停留在业务层面的“项目质量”或“风险防范”，缺乏对合</w:t>
      </w:r>
      <w:proofErr w:type="gramStart"/>
      <w:r w:rsidRPr="0038460C">
        <w:rPr>
          <w:rFonts w:ascii="仿宋" w:eastAsia="仿宋" w:hAnsi="仿宋" w:cs="宋体" w:hint="eastAsia"/>
          <w:color w:val="000000"/>
          <w:sz w:val="32"/>
          <w:szCs w:val="32"/>
        </w:rPr>
        <w:t>规</w:t>
      </w:r>
      <w:proofErr w:type="gramEnd"/>
      <w:r w:rsidRPr="0038460C">
        <w:rPr>
          <w:rFonts w:ascii="仿宋" w:eastAsia="仿宋" w:hAnsi="仿宋" w:cs="宋体" w:hint="eastAsia"/>
          <w:color w:val="000000"/>
          <w:sz w:val="32"/>
          <w:szCs w:val="32"/>
        </w:rPr>
        <w:t>职责、流程、责任主体及管理机制的系统性和一体化认识。</w:t>
      </w:r>
    </w:p>
    <w:p w14:paraId="1B3437D5" w14:textId="77777777" w:rsidR="00203670" w:rsidRDefault="003E3946">
      <w:pPr>
        <w:spacing w:line="560" w:lineRule="exact"/>
        <w:ind w:firstLineChars="200" w:firstLine="640"/>
        <w:rPr>
          <w:rFonts w:ascii="仿宋" w:eastAsia="仿宋" w:hAnsi="仿宋" w:cs="宋体" w:hint="eastAsia"/>
          <w:color w:val="000000"/>
          <w:sz w:val="32"/>
          <w:szCs w:val="32"/>
        </w:rPr>
      </w:pPr>
      <w:r>
        <w:rPr>
          <w:rFonts w:ascii="仿宋" w:eastAsia="仿宋" w:hAnsi="仿宋" w:cs="宋体" w:hint="eastAsia"/>
          <w:color w:val="000000"/>
          <w:sz w:val="32"/>
          <w:szCs w:val="32"/>
        </w:rPr>
        <w:t>其二，监管部门在日常执法检查中，偏重</w:t>
      </w:r>
      <w:proofErr w:type="gramStart"/>
      <w:r>
        <w:rPr>
          <w:rFonts w:ascii="仿宋" w:eastAsia="仿宋" w:hAnsi="仿宋" w:cs="宋体" w:hint="eastAsia"/>
          <w:color w:val="000000"/>
          <w:sz w:val="32"/>
          <w:szCs w:val="32"/>
        </w:rPr>
        <w:t>于违法</w:t>
      </w:r>
      <w:proofErr w:type="gramEnd"/>
      <w:r>
        <w:rPr>
          <w:rFonts w:ascii="仿宋" w:eastAsia="仿宋" w:hAnsi="仿宋" w:cs="宋体" w:hint="eastAsia"/>
          <w:color w:val="000000"/>
          <w:sz w:val="32"/>
          <w:szCs w:val="32"/>
        </w:rPr>
        <w:t>违规的事由及处罚决定，至于如何强化事务所的内控合</w:t>
      </w:r>
      <w:proofErr w:type="gramStart"/>
      <w:r>
        <w:rPr>
          <w:rFonts w:ascii="仿宋" w:eastAsia="仿宋" w:hAnsi="仿宋" w:cs="宋体" w:hint="eastAsia"/>
          <w:color w:val="000000"/>
          <w:sz w:val="32"/>
          <w:szCs w:val="32"/>
        </w:rPr>
        <w:t>规</w:t>
      </w:r>
      <w:proofErr w:type="gramEnd"/>
      <w:r>
        <w:rPr>
          <w:rFonts w:ascii="仿宋" w:eastAsia="仿宋" w:hAnsi="仿宋" w:cs="宋体" w:hint="eastAsia"/>
          <w:color w:val="000000"/>
          <w:sz w:val="32"/>
          <w:szCs w:val="32"/>
        </w:rPr>
        <w:t>建设，则缺乏有效的针对性建议。在我国现行会计监管体系中，财政部、证监会等监管部门所遵循的执法流程，普遍按照“违法事实认定—处罚决定—公开通报”的线性逻辑进行。这种监管模式主要是通过公开通报和经济处罚形成行业震慑。从监管初衷来看，此举能够在短期内遏制部分事务所的严重违法行为，强化法律威慑力。但从长期治理效果看，这种“惩戒式监管”逐渐暴露出明显局限：一是监管关注点集中于“事后处罚”，缺乏“事前防范”；二是处罚缺乏制度化的指导功能，致使整改流于表面，难以促成合</w:t>
      </w:r>
      <w:proofErr w:type="gramStart"/>
      <w:r>
        <w:rPr>
          <w:rFonts w:ascii="仿宋" w:eastAsia="仿宋" w:hAnsi="仿宋" w:cs="宋体" w:hint="eastAsia"/>
          <w:color w:val="000000"/>
          <w:sz w:val="32"/>
          <w:szCs w:val="32"/>
        </w:rPr>
        <w:t>规</w:t>
      </w:r>
      <w:proofErr w:type="gramEnd"/>
      <w:r>
        <w:rPr>
          <w:rFonts w:ascii="仿宋" w:eastAsia="仿宋" w:hAnsi="仿宋" w:cs="宋体" w:hint="eastAsia"/>
          <w:color w:val="000000"/>
          <w:sz w:val="32"/>
          <w:szCs w:val="32"/>
        </w:rPr>
        <w:t>文化的建设完善。在此逻辑下，事务所对监管的理解也逐步“外部化”。事务所往往将监管视作“外部风险事件”而非“内部治理要素”，管理重心集中于“如何应对处罚”，而非“如何消除根源风险”。被处罚事务所在收到行政决定后往往会迅速成立“整改工作组”，但整改重点多集中于编制“书面说明”，缺乏</w:t>
      </w:r>
      <w:r>
        <w:rPr>
          <w:rFonts w:ascii="仿宋" w:eastAsia="仿宋" w:hAnsi="仿宋" w:cs="宋体" w:hint="eastAsia"/>
          <w:color w:val="000000"/>
          <w:sz w:val="32"/>
          <w:szCs w:val="32"/>
        </w:rPr>
        <w:lastRenderedPageBreak/>
        <w:t>针对性、持续性的内部治理优化。因此，监管威慑虽然存在，但并未真正改变事务所的风险治理逻辑。整改报告完成后，事务所内部组织架构、合</w:t>
      </w:r>
      <w:proofErr w:type="gramStart"/>
      <w:r>
        <w:rPr>
          <w:rFonts w:ascii="仿宋" w:eastAsia="仿宋" w:hAnsi="仿宋" w:cs="宋体" w:hint="eastAsia"/>
          <w:color w:val="000000"/>
          <w:sz w:val="32"/>
          <w:szCs w:val="32"/>
        </w:rPr>
        <w:t>规</w:t>
      </w:r>
      <w:proofErr w:type="gramEnd"/>
      <w:r>
        <w:rPr>
          <w:rFonts w:ascii="仿宋" w:eastAsia="仿宋" w:hAnsi="仿宋" w:cs="宋体" w:hint="eastAsia"/>
          <w:color w:val="000000"/>
          <w:sz w:val="32"/>
          <w:szCs w:val="32"/>
        </w:rPr>
        <w:t>文化建设等根本问题仍未根本解决。</w:t>
      </w:r>
    </w:p>
    <w:p w14:paraId="3D4EB966" w14:textId="5265E554" w:rsidR="00203670" w:rsidRDefault="003E3946">
      <w:pPr>
        <w:spacing w:line="560" w:lineRule="exact"/>
        <w:ind w:firstLineChars="200" w:firstLine="640"/>
        <w:rPr>
          <w:rFonts w:ascii="仿宋" w:eastAsia="仿宋" w:hAnsi="仿宋" w:hint="eastAsia"/>
          <w:sz w:val="32"/>
          <w:szCs w:val="32"/>
        </w:rPr>
      </w:pPr>
      <w:r>
        <w:rPr>
          <w:rFonts w:ascii="仿宋" w:eastAsia="仿宋" w:hAnsi="仿宋" w:cs="宋体" w:hint="eastAsia"/>
          <w:color w:val="000000"/>
          <w:sz w:val="32"/>
          <w:szCs w:val="32"/>
        </w:rPr>
        <w:t>其三，事务所</w:t>
      </w:r>
      <w:r w:rsidR="005B0792">
        <w:rPr>
          <w:rFonts w:ascii="仿宋" w:eastAsia="仿宋" w:hAnsi="仿宋" w:cs="宋体" w:hint="eastAsia"/>
          <w:color w:val="000000"/>
          <w:sz w:val="32"/>
          <w:szCs w:val="32"/>
        </w:rPr>
        <w:t>质量管理</w:t>
      </w:r>
      <w:r>
        <w:rPr>
          <w:rFonts w:ascii="仿宋" w:eastAsia="仿宋" w:hAnsi="仿宋" w:cs="宋体" w:hint="eastAsia"/>
          <w:color w:val="000000"/>
          <w:sz w:val="32"/>
          <w:szCs w:val="32"/>
        </w:rPr>
        <w:t>合</w:t>
      </w:r>
      <w:proofErr w:type="gramStart"/>
      <w:r>
        <w:rPr>
          <w:rFonts w:ascii="仿宋" w:eastAsia="仿宋" w:hAnsi="仿宋" w:cs="宋体" w:hint="eastAsia"/>
          <w:color w:val="000000"/>
          <w:sz w:val="32"/>
          <w:szCs w:val="32"/>
        </w:rPr>
        <w:t>规</w:t>
      </w:r>
      <w:proofErr w:type="gramEnd"/>
      <w:r>
        <w:rPr>
          <w:rFonts w:ascii="仿宋" w:eastAsia="仿宋" w:hAnsi="仿宋" w:cs="宋体" w:hint="eastAsia"/>
          <w:color w:val="000000"/>
          <w:sz w:val="32"/>
          <w:szCs w:val="32"/>
        </w:rPr>
        <w:t>建设缺乏制度性、动态性的激励约束机制。如一些情节较轻的合</w:t>
      </w:r>
      <w:proofErr w:type="gramStart"/>
      <w:r>
        <w:rPr>
          <w:rFonts w:ascii="仿宋" w:eastAsia="仿宋" w:hAnsi="仿宋" w:cs="宋体" w:hint="eastAsia"/>
          <w:color w:val="000000"/>
          <w:sz w:val="32"/>
          <w:szCs w:val="32"/>
        </w:rPr>
        <w:t>规</w:t>
      </w:r>
      <w:proofErr w:type="gramEnd"/>
      <w:r>
        <w:rPr>
          <w:rFonts w:ascii="仿宋" w:eastAsia="仿宋" w:hAnsi="仿宋" w:cs="宋体" w:hint="eastAsia"/>
          <w:color w:val="000000"/>
          <w:sz w:val="32"/>
          <w:szCs w:val="32"/>
        </w:rPr>
        <w:t>问题，可以暂不予处罚，待合</w:t>
      </w:r>
      <w:proofErr w:type="gramStart"/>
      <w:r>
        <w:rPr>
          <w:rFonts w:ascii="仿宋" w:eastAsia="仿宋" w:hAnsi="仿宋" w:cs="宋体" w:hint="eastAsia"/>
          <w:color w:val="000000"/>
          <w:sz w:val="32"/>
          <w:szCs w:val="32"/>
        </w:rPr>
        <w:t>规整改并验收</w:t>
      </w:r>
      <w:proofErr w:type="gramEnd"/>
      <w:r>
        <w:rPr>
          <w:rFonts w:ascii="仿宋" w:eastAsia="仿宋" w:hAnsi="仿宋" w:cs="宋体" w:hint="eastAsia"/>
          <w:color w:val="000000"/>
          <w:sz w:val="32"/>
          <w:szCs w:val="32"/>
        </w:rPr>
        <w:t>后，视情给予减免处罚或加重处罚。如美国公众公司会计监督委员会（PCAOB）在审计监管中形成了具有激励导向的“双轨机制”：一方面通过执法程序对违规行为予以惩处，另一方面通过完善的整改与补救制度，鼓励事务所主动识别并纠正内部控制缺陷。根据PCAOB相关规定，事务所在收到含质量</w:t>
      </w:r>
      <w:r w:rsidR="005B0792">
        <w:rPr>
          <w:rFonts w:ascii="仿宋" w:eastAsia="仿宋" w:hAnsi="仿宋" w:cs="宋体" w:hint="eastAsia"/>
          <w:color w:val="000000"/>
          <w:sz w:val="32"/>
          <w:szCs w:val="32"/>
        </w:rPr>
        <w:t>管理</w:t>
      </w:r>
      <w:r>
        <w:rPr>
          <w:rFonts w:ascii="仿宋" w:eastAsia="仿宋" w:hAnsi="仿宋" w:cs="宋体" w:hint="eastAsia"/>
          <w:color w:val="000000"/>
          <w:sz w:val="32"/>
          <w:szCs w:val="32"/>
        </w:rPr>
        <w:t>批评的最终检查报告后，可在12个月内提交补救计划。若其在被正式处罚或公开批评前即主动披露问题、积极配合调查并提出可验证的改进方案，检查部在评估其整改成效时可在裁量中予以“有利评价”，从而影响最终的处罚决定，例如缩短公开披露期或免于部分公开通报。</w:t>
      </w:r>
      <w:r>
        <w:rPr>
          <w:rStyle w:val="af3"/>
          <w:rFonts w:ascii="仿宋" w:eastAsia="仿宋" w:hAnsi="仿宋" w:cs="宋体" w:hint="eastAsia"/>
          <w:color w:val="000000"/>
          <w:sz w:val="32"/>
          <w:szCs w:val="32"/>
        </w:rPr>
        <w:footnoteReference w:id="20"/>
      </w:r>
      <w:r>
        <w:rPr>
          <w:rFonts w:ascii="仿宋" w:eastAsia="仿宋" w:hAnsi="仿宋" w:cs="宋体" w:hint="eastAsia"/>
          <w:color w:val="000000"/>
          <w:sz w:val="32"/>
          <w:szCs w:val="32"/>
        </w:rPr>
        <w:t>此种“激励式补救机制”促使事务所在违规初期即“早报告、早纠正”，促使合</w:t>
      </w:r>
      <w:proofErr w:type="gramStart"/>
      <w:r>
        <w:rPr>
          <w:rFonts w:ascii="仿宋" w:eastAsia="仿宋" w:hAnsi="仿宋" w:cs="宋体" w:hint="eastAsia"/>
          <w:color w:val="000000"/>
          <w:sz w:val="32"/>
          <w:szCs w:val="32"/>
        </w:rPr>
        <w:t>规</w:t>
      </w:r>
      <w:proofErr w:type="gramEnd"/>
      <w:r>
        <w:rPr>
          <w:rFonts w:ascii="仿宋" w:eastAsia="仿宋" w:hAnsi="仿宋" w:cs="宋体" w:hint="eastAsia"/>
          <w:color w:val="000000"/>
          <w:sz w:val="32"/>
          <w:szCs w:val="32"/>
        </w:rPr>
        <w:t>从</w:t>
      </w:r>
      <w:proofErr w:type="gramStart"/>
      <w:r>
        <w:rPr>
          <w:rFonts w:ascii="仿宋" w:eastAsia="仿宋" w:hAnsi="仿宋" w:cs="宋体" w:hint="eastAsia"/>
          <w:color w:val="000000"/>
          <w:sz w:val="32"/>
          <w:szCs w:val="32"/>
        </w:rPr>
        <w:t>被动响应</w:t>
      </w:r>
      <w:proofErr w:type="gramEnd"/>
      <w:r>
        <w:rPr>
          <w:rFonts w:ascii="仿宋" w:eastAsia="仿宋" w:hAnsi="仿宋" w:cs="宋体" w:hint="eastAsia"/>
          <w:color w:val="000000"/>
          <w:sz w:val="32"/>
          <w:szCs w:val="32"/>
        </w:rPr>
        <w:t>转为主动管理。此外，PCAOB设有整改后监督制度，要求事务所在补救措施实施后提交执行与效果报告，并接受后续复核。若整改成效未达预期，监管机构可重新将其纳入检查名单或追加执法程序。</w:t>
      </w:r>
      <w:r>
        <w:rPr>
          <w:rStyle w:val="af3"/>
          <w:rFonts w:ascii="仿宋" w:eastAsia="仿宋" w:hAnsi="仿宋" w:cs="宋体" w:hint="eastAsia"/>
          <w:color w:val="000000"/>
          <w:sz w:val="32"/>
          <w:szCs w:val="32"/>
        </w:rPr>
        <w:footnoteReference w:id="21"/>
      </w:r>
      <w:r>
        <w:rPr>
          <w:rFonts w:ascii="仿宋" w:eastAsia="仿宋" w:hAnsi="仿宋" w:cs="宋体" w:hint="eastAsia"/>
          <w:color w:val="000000"/>
          <w:sz w:val="32"/>
          <w:szCs w:val="32"/>
        </w:rPr>
        <w:t>这种“监管-改进—再整改或激励”的循环机制，促使</w:t>
      </w:r>
      <w:r>
        <w:rPr>
          <w:rFonts w:ascii="仿宋" w:eastAsia="仿宋" w:hAnsi="仿宋" w:cs="宋体" w:hint="eastAsia"/>
          <w:color w:val="000000"/>
          <w:sz w:val="32"/>
          <w:szCs w:val="32"/>
        </w:rPr>
        <w:lastRenderedPageBreak/>
        <w:t>合</w:t>
      </w:r>
      <w:proofErr w:type="gramStart"/>
      <w:r>
        <w:rPr>
          <w:rFonts w:ascii="仿宋" w:eastAsia="仿宋" w:hAnsi="仿宋" w:cs="宋体" w:hint="eastAsia"/>
          <w:color w:val="000000"/>
          <w:sz w:val="32"/>
          <w:szCs w:val="32"/>
        </w:rPr>
        <w:t>规</w:t>
      </w:r>
      <w:proofErr w:type="gramEnd"/>
      <w:r>
        <w:rPr>
          <w:rFonts w:ascii="仿宋" w:eastAsia="仿宋" w:hAnsi="仿宋" w:cs="宋体" w:hint="eastAsia"/>
          <w:color w:val="000000"/>
          <w:sz w:val="32"/>
          <w:szCs w:val="32"/>
        </w:rPr>
        <w:t>建设从一次性应对转向动态改进。相比之下，我国监管执法偏重结果导向而忽视过程管理，在事务所</w:t>
      </w:r>
      <w:r w:rsidR="005B0792">
        <w:rPr>
          <w:rFonts w:ascii="仿宋" w:eastAsia="仿宋" w:hAnsi="仿宋" w:cs="宋体" w:hint="eastAsia"/>
          <w:color w:val="000000"/>
          <w:sz w:val="32"/>
          <w:szCs w:val="32"/>
        </w:rPr>
        <w:t>质量管理</w:t>
      </w:r>
      <w:r>
        <w:rPr>
          <w:rFonts w:ascii="仿宋" w:eastAsia="仿宋" w:hAnsi="仿宋" w:cs="宋体" w:hint="eastAsia"/>
          <w:color w:val="000000"/>
          <w:sz w:val="32"/>
          <w:szCs w:val="32"/>
        </w:rPr>
        <w:t>合</w:t>
      </w:r>
      <w:proofErr w:type="gramStart"/>
      <w:r>
        <w:rPr>
          <w:rFonts w:ascii="仿宋" w:eastAsia="仿宋" w:hAnsi="仿宋" w:cs="宋体" w:hint="eastAsia"/>
          <w:color w:val="000000"/>
          <w:sz w:val="32"/>
          <w:szCs w:val="32"/>
        </w:rPr>
        <w:t>规</w:t>
      </w:r>
      <w:proofErr w:type="gramEnd"/>
      <w:r>
        <w:rPr>
          <w:rFonts w:ascii="仿宋" w:eastAsia="仿宋" w:hAnsi="仿宋" w:cs="宋体" w:hint="eastAsia"/>
          <w:color w:val="000000"/>
          <w:sz w:val="32"/>
          <w:szCs w:val="32"/>
        </w:rPr>
        <w:t>建设上缺乏制度性、动态性的激励约束机制和动态反馈环节。在事务所管理办法及行政处罚程序中，尚未确立将整改绩效纳入执法</w:t>
      </w:r>
      <w:proofErr w:type="gramStart"/>
      <w:r>
        <w:rPr>
          <w:rFonts w:ascii="仿宋" w:eastAsia="仿宋" w:hAnsi="仿宋" w:cs="宋体" w:hint="eastAsia"/>
          <w:color w:val="000000"/>
          <w:sz w:val="32"/>
          <w:szCs w:val="32"/>
        </w:rPr>
        <w:t>考量</w:t>
      </w:r>
      <w:proofErr w:type="gramEnd"/>
      <w:r>
        <w:rPr>
          <w:rFonts w:ascii="仿宋" w:eastAsia="仿宋" w:hAnsi="仿宋" w:cs="宋体" w:hint="eastAsia"/>
          <w:color w:val="000000"/>
          <w:sz w:val="32"/>
          <w:szCs w:val="32"/>
        </w:rPr>
        <w:t>的制度性安排，缺乏可计算、可评估的合</w:t>
      </w:r>
      <w:proofErr w:type="gramStart"/>
      <w:r>
        <w:rPr>
          <w:rFonts w:ascii="仿宋" w:eastAsia="仿宋" w:hAnsi="仿宋" w:cs="宋体" w:hint="eastAsia"/>
          <w:color w:val="000000"/>
          <w:sz w:val="32"/>
          <w:szCs w:val="32"/>
        </w:rPr>
        <w:t>规</w:t>
      </w:r>
      <w:proofErr w:type="gramEnd"/>
      <w:r>
        <w:rPr>
          <w:rFonts w:ascii="仿宋" w:eastAsia="仿宋" w:hAnsi="仿宋" w:cs="宋体" w:hint="eastAsia"/>
          <w:color w:val="000000"/>
          <w:sz w:val="32"/>
          <w:szCs w:val="32"/>
        </w:rPr>
        <w:t>反馈指标、缺乏正向激励机制；尚未建立针对“主动整改、配合调查、提前披露”等行为的减免处罚制度。这不仅削弱了合</w:t>
      </w:r>
      <w:proofErr w:type="gramStart"/>
      <w:r>
        <w:rPr>
          <w:rFonts w:ascii="仿宋" w:eastAsia="仿宋" w:hAnsi="仿宋" w:cs="宋体" w:hint="eastAsia"/>
          <w:color w:val="000000"/>
          <w:sz w:val="32"/>
          <w:szCs w:val="32"/>
        </w:rPr>
        <w:t>规</w:t>
      </w:r>
      <w:proofErr w:type="gramEnd"/>
      <w:r>
        <w:rPr>
          <w:rFonts w:ascii="仿宋" w:eastAsia="仿宋" w:hAnsi="仿宋" w:cs="宋体" w:hint="eastAsia"/>
          <w:color w:val="000000"/>
          <w:sz w:val="32"/>
          <w:szCs w:val="32"/>
        </w:rPr>
        <w:t>建设的内生动力，也使监管资源难以实现优化配置。</w:t>
      </w:r>
    </w:p>
    <w:p w14:paraId="102B61CA" w14:textId="77777777" w:rsidR="00203670" w:rsidRDefault="003E3946">
      <w:pPr>
        <w:spacing w:line="560" w:lineRule="exact"/>
        <w:ind w:firstLineChars="200" w:firstLine="640"/>
        <w:outlineLvl w:val="0"/>
        <w:rPr>
          <w:rFonts w:ascii="黑体" w:eastAsia="黑体" w:hAnsi="黑体" w:cs="黑体" w:hint="eastAsia"/>
          <w:bCs/>
          <w:sz w:val="32"/>
          <w:szCs w:val="32"/>
        </w:rPr>
      </w:pPr>
      <w:bookmarkStart w:id="30" w:name="_Toc4102"/>
      <w:r>
        <w:rPr>
          <w:rFonts w:ascii="黑体" w:eastAsia="黑体" w:hAnsi="黑体" w:cs="黑体" w:hint="eastAsia"/>
          <w:bCs/>
          <w:sz w:val="32"/>
          <w:szCs w:val="32"/>
        </w:rPr>
        <w:t>三、回应性监管理论的引入</w:t>
      </w:r>
      <w:bookmarkEnd w:id="30"/>
    </w:p>
    <w:p w14:paraId="6B532CCA" w14:textId="77777777" w:rsidR="00203670" w:rsidRDefault="003E3946">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回应性法治理念是为了解决法律与社会现实脱离的困境而出现的，它是法律现实主义和法社会学的一部分，最初由伯克利学派赛尔兹尼克（Philip Selznick）和</w:t>
      </w:r>
      <w:proofErr w:type="gramStart"/>
      <w:r>
        <w:rPr>
          <w:rFonts w:ascii="仿宋" w:eastAsia="仿宋" w:hAnsi="仿宋" w:cs="Times New Roman" w:hint="eastAsia"/>
          <w:sz w:val="32"/>
          <w:szCs w:val="32"/>
        </w:rPr>
        <w:t>诺内</w:t>
      </w:r>
      <w:proofErr w:type="gramEnd"/>
      <w:r>
        <w:rPr>
          <w:rFonts w:ascii="仿宋" w:eastAsia="仿宋" w:hAnsi="仿宋" w:cs="Times New Roman" w:hint="eastAsia"/>
          <w:sz w:val="32"/>
          <w:szCs w:val="32"/>
        </w:rPr>
        <w:t>特（Philippe Nonet）所提出，旨在通过法律制度的研究和变革，来积极回应社会变革的需要，他们将既有法律划分为压制性法、</w:t>
      </w:r>
      <w:proofErr w:type="gramStart"/>
      <w:r>
        <w:rPr>
          <w:rFonts w:ascii="仿宋" w:eastAsia="仿宋" w:hAnsi="仿宋" w:cs="Times New Roman" w:hint="eastAsia"/>
          <w:sz w:val="32"/>
          <w:szCs w:val="32"/>
        </w:rPr>
        <w:t>自治性法和</w:t>
      </w:r>
      <w:proofErr w:type="gramEnd"/>
      <w:r>
        <w:rPr>
          <w:rFonts w:ascii="仿宋" w:eastAsia="仿宋" w:hAnsi="仿宋" w:cs="Times New Roman" w:hint="eastAsia"/>
          <w:sz w:val="32"/>
          <w:szCs w:val="32"/>
        </w:rPr>
        <w:t>回应性法。在政治权力充分而资源匮乏的背景下，压制性法倾向于采取压制措施实现效益最大化，但却受到很少的制度约束，法的安定性和正当化程度也因此而降低。</w:t>
      </w:r>
      <w:proofErr w:type="gramStart"/>
      <w:r>
        <w:rPr>
          <w:rFonts w:ascii="仿宋" w:eastAsia="仿宋" w:hAnsi="仿宋" w:cs="Times New Roman" w:hint="eastAsia"/>
          <w:sz w:val="32"/>
          <w:szCs w:val="32"/>
        </w:rPr>
        <w:t>自治性法通过</w:t>
      </w:r>
      <w:proofErr w:type="gramEnd"/>
      <w:r>
        <w:rPr>
          <w:rFonts w:ascii="仿宋" w:eastAsia="仿宋" w:hAnsi="仿宋" w:cs="Times New Roman" w:hint="eastAsia"/>
          <w:sz w:val="32"/>
          <w:szCs w:val="32"/>
        </w:rPr>
        <w:t>严格独立的法律规则、程序弥补了这一缺陷，但对规则和程序的极端形式化强调使其忽视了法与社会的互动，滋生了机械的、令人苦恼的法条主义和程序空转问题，偏离了规则背后的公共目的并阻碍了实质正义的实现。回应性法治理论应运而生，它强调法律目的的权威，并在整体上考虑制度的德性（善）和理性（良），不拘泥于法的形式主义和仪式性，而是探究法律和政策中蕴含的社会公</w:t>
      </w:r>
      <w:r>
        <w:rPr>
          <w:rFonts w:ascii="仿宋" w:eastAsia="仿宋" w:hAnsi="仿宋" w:cs="Times New Roman" w:hint="eastAsia"/>
          <w:sz w:val="32"/>
          <w:szCs w:val="32"/>
        </w:rPr>
        <w:lastRenderedPageBreak/>
        <w:t>认准则（价值），赋予国家制度自我修正的精神。</w:t>
      </w:r>
      <w:r>
        <w:rPr>
          <w:rStyle w:val="af3"/>
          <w:rFonts w:ascii="仿宋" w:eastAsia="仿宋" w:hAnsi="仿宋" w:cs="Times New Roman" w:hint="eastAsia"/>
          <w:sz w:val="32"/>
          <w:szCs w:val="32"/>
        </w:rPr>
        <w:footnoteReference w:id="22"/>
      </w:r>
      <w:r>
        <w:rPr>
          <w:rFonts w:ascii="仿宋" w:eastAsia="仿宋" w:hAnsi="仿宋" w:cs="Times New Roman" w:hint="eastAsia"/>
          <w:sz w:val="32"/>
          <w:szCs w:val="32"/>
        </w:rPr>
        <w:t>伊恩·艾尔斯（Ian Ayres）和约翰·布雷斯韦特（</w:t>
      </w:r>
      <w:r>
        <w:rPr>
          <w:rFonts w:ascii="仿宋" w:eastAsia="仿宋" w:hAnsi="仿宋" w:cs="Times New Roman"/>
          <w:sz w:val="32"/>
          <w:szCs w:val="32"/>
        </w:rPr>
        <w:t>John Braithwaite</w:t>
      </w:r>
      <w:r>
        <w:rPr>
          <w:rFonts w:ascii="仿宋" w:eastAsia="仿宋" w:hAnsi="仿宋" w:cs="Times New Roman" w:hint="eastAsia"/>
          <w:sz w:val="32"/>
          <w:szCs w:val="32"/>
        </w:rPr>
        <w:t>）在此基础上提出回应性监管理念，并详细介绍了其原则和实现路径，旨在强调激发公民或市场主体的内驱力，并设置由低到高、“胡萝卜加大棒”的金字塔式的监管措施体系，因人施策、平等协商、动态调整，以达到最佳监管效果</w:t>
      </w:r>
      <w:r>
        <w:rPr>
          <w:rStyle w:val="af3"/>
          <w:rFonts w:ascii="仿宋" w:eastAsia="仿宋" w:hAnsi="仿宋" w:cs="Times New Roman" w:hint="eastAsia"/>
          <w:sz w:val="32"/>
          <w:szCs w:val="32"/>
        </w:rPr>
        <w:footnoteReference w:id="23"/>
      </w:r>
      <w:r>
        <w:rPr>
          <w:rFonts w:ascii="仿宋" w:eastAsia="仿宋" w:hAnsi="仿宋" w:cs="Times New Roman" w:hint="eastAsia"/>
          <w:sz w:val="32"/>
          <w:szCs w:val="32"/>
        </w:rPr>
        <w:t>。回应性法治和监管理论对事务所的监管执法颇有启发意义，不妨归结为以下几点。</w:t>
      </w:r>
    </w:p>
    <w:p w14:paraId="70EA3A3D" w14:textId="77777777" w:rsidR="00203670" w:rsidRDefault="003E3946">
      <w:pPr>
        <w:numPr>
          <w:ilvl w:val="0"/>
          <w:numId w:val="2"/>
        </w:numPr>
        <w:spacing w:line="560" w:lineRule="exact"/>
        <w:ind w:firstLineChars="200" w:firstLine="640"/>
        <w:outlineLvl w:val="1"/>
        <w:rPr>
          <w:rFonts w:ascii="楷体" w:eastAsia="楷体" w:hAnsi="楷体" w:cs="楷体" w:hint="eastAsia"/>
          <w:bCs/>
          <w:sz w:val="32"/>
          <w:szCs w:val="32"/>
        </w:rPr>
      </w:pPr>
      <w:bookmarkStart w:id="31" w:name="_Toc22537"/>
      <w:r>
        <w:rPr>
          <w:rFonts w:ascii="楷体" w:eastAsia="楷体" w:hAnsi="楷体" w:cs="楷体" w:hint="eastAsia"/>
          <w:bCs/>
          <w:sz w:val="32"/>
          <w:szCs w:val="32"/>
        </w:rPr>
        <w:t>道德性：注重区分事务所的动机和能力</w:t>
      </w:r>
      <w:bookmarkEnd w:id="31"/>
    </w:p>
    <w:p w14:paraId="64C935E9" w14:textId="77777777" w:rsidR="00203670" w:rsidRDefault="003E3946">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回应性法治和监管主张把公民性（civility）作为维护公共秩序的标准，重视个体的道德内核或企业的社会责任，而非简单化、片面化地将其</w:t>
      </w:r>
      <w:proofErr w:type="gramStart"/>
      <w:r>
        <w:rPr>
          <w:rFonts w:ascii="仿宋" w:eastAsia="仿宋" w:hAnsi="仿宋" w:cs="Times New Roman" w:hint="eastAsia"/>
          <w:sz w:val="32"/>
          <w:szCs w:val="32"/>
        </w:rPr>
        <w:t>看做</w:t>
      </w:r>
      <w:proofErr w:type="gramEnd"/>
      <w:r>
        <w:rPr>
          <w:rFonts w:ascii="仿宋" w:eastAsia="仿宋" w:hAnsi="仿宋" w:cs="Times New Roman" w:hint="eastAsia"/>
          <w:sz w:val="32"/>
          <w:szCs w:val="32"/>
        </w:rPr>
        <w:t>是理性</w:t>
      </w:r>
      <w:proofErr w:type="gramStart"/>
      <w:r>
        <w:rPr>
          <w:rFonts w:ascii="仿宋" w:eastAsia="仿宋" w:hAnsi="仿宋" w:cs="Times New Roman" w:hint="eastAsia"/>
          <w:sz w:val="32"/>
          <w:szCs w:val="32"/>
        </w:rPr>
        <w:t>经济人</w:t>
      </w:r>
      <w:proofErr w:type="gramEnd"/>
      <w:r>
        <w:rPr>
          <w:rFonts w:ascii="仿宋" w:eastAsia="仿宋" w:hAnsi="仿宋" w:cs="Times New Roman" w:hint="eastAsia"/>
          <w:sz w:val="32"/>
          <w:szCs w:val="32"/>
        </w:rPr>
        <w:t>。事实上，多数行为人的动机是很复杂的，有出于利益的考虑，也有履行道德和社会责任的考虑，很少有某些个人是完全的利益最大化的追求者或者完全是无私的奉献主义者，具体怎样选择往往是在特定条件下决定的。很多个人或企业还是具有遵守法律、履行社会责任的意愿，也有一些是完全以利润最大化为主要追求的。激发和提升个体、企业内在的道德感，让它们主动守法并因此而获得长远的利益，是回应性法治和监管的更高追求。监管处罚必须考虑监管对象的动机、能力，尽量不伤及其主动性或增加对立性，而是要触及到其道德内核，并非为了罚而罚。</w:t>
      </w:r>
    </w:p>
    <w:p w14:paraId="16262050" w14:textId="77777777" w:rsidR="00203670" w:rsidRDefault="003E3946">
      <w:pPr>
        <w:spacing w:line="560" w:lineRule="exact"/>
        <w:ind w:firstLineChars="200" w:firstLine="640"/>
        <w:rPr>
          <w:rFonts w:ascii="仿宋" w:eastAsia="仿宋" w:hAnsi="仿宋" w:hint="eastAsia"/>
          <w:sz w:val="32"/>
          <w:szCs w:val="32"/>
        </w:rPr>
      </w:pPr>
      <w:r>
        <w:rPr>
          <w:rFonts w:ascii="仿宋" w:eastAsia="仿宋" w:hAnsi="仿宋" w:cs="Times New Roman" w:hint="eastAsia"/>
          <w:sz w:val="32"/>
          <w:szCs w:val="32"/>
        </w:rPr>
        <w:lastRenderedPageBreak/>
        <w:t>具体到对事务所的监管执法层面，各事务所</w:t>
      </w:r>
      <w:r>
        <w:rPr>
          <w:rFonts w:ascii="仿宋" w:eastAsia="仿宋" w:hAnsi="仿宋" w:hint="eastAsia"/>
          <w:sz w:val="32"/>
          <w:szCs w:val="32"/>
        </w:rPr>
        <w:t>的动机、能力各异。大多数事务所有较高的“看门人”意识，主动履职的意愿强，出现审计失败在于欺诈的隐蔽性太强或自身能力不够；只有极少数事务所是唯利是图而毫不顾及“看门人”角色和职责。监管部门应注重这种动机、能力的具体差异，立足于提高事务所守法意识和能力这一核心目的，采取有针对性的措施和处罚。仅仅是形式地满足处罚的条件、责任等，未必能够实质性地实现这一目的，如动辄得咎的不安状态或</w:t>
      </w:r>
    </w:p>
    <w:p w14:paraId="4FB2496B" w14:textId="77777777" w:rsidR="00203670" w:rsidRDefault="003E3946">
      <w:pPr>
        <w:spacing w:line="560" w:lineRule="exact"/>
        <w:ind w:firstLine="200"/>
        <w:rPr>
          <w:rFonts w:ascii="仿宋" w:eastAsia="仿宋" w:hAnsi="仿宋" w:hint="eastAsia"/>
          <w:sz w:val="32"/>
          <w:szCs w:val="32"/>
        </w:rPr>
      </w:pPr>
      <w:r>
        <w:rPr>
          <w:rFonts w:ascii="仿宋" w:eastAsia="仿宋" w:hAnsi="仿宋" w:hint="eastAsia"/>
          <w:sz w:val="32"/>
          <w:szCs w:val="32"/>
        </w:rPr>
        <w:t>过重的处罚会挫伤守法意愿强、能力不足者的守法积极性，使其要么退出市场，要么规避乃至触犯法律、监管规定，以寻求更高的风险收益。当然，对主观恶性强、屡教不改者，严厉</w:t>
      </w:r>
      <w:proofErr w:type="gramStart"/>
      <w:r>
        <w:rPr>
          <w:rFonts w:ascii="仿宋" w:eastAsia="仿宋" w:hAnsi="仿宋" w:hint="eastAsia"/>
          <w:sz w:val="32"/>
          <w:szCs w:val="32"/>
        </w:rPr>
        <w:t>且必然</w:t>
      </w:r>
      <w:proofErr w:type="gramEnd"/>
      <w:r>
        <w:rPr>
          <w:rFonts w:ascii="仿宋" w:eastAsia="仿宋" w:hAnsi="仿宋" w:hint="eastAsia"/>
          <w:sz w:val="32"/>
          <w:szCs w:val="32"/>
        </w:rPr>
        <w:t>确定的监管处罚是十分必要的。</w:t>
      </w:r>
    </w:p>
    <w:p w14:paraId="05B77C18" w14:textId="77777777" w:rsidR="00203670" w:rsidRDefault="003E3946">
      <w:pPr>
        <w:numPr>
          <w:ilvl w:val="0"/>
          <w:numId w:val="2"/>
        </w:numPr>
        <w:spacing w:line="560" w:lineRule="exact"/>
        <w:ind w:firstLineChars="200" w:firstLine="640"/>
        <w:outlineLvl w:val="1"/>
        <w:rPr>
          <w:rFonts w:ascii="楷体" w:eastAsia="楷体" w:hAnsi="楷体" w:cs="楷体" w:hint="eastAsia"/>
          <w:bCs/>
          <w:sz w:val="32"/>
          <w:szCs w:val="32"/>
        </w:rPr>
      </w:pPr>
      <w:bookmarkStart w:id="32" w:name="_Toc17486"/>
      <w:r>
        <w:rPr>
          <w:rFonts w:ascii="楷体" w:eastAsia="楷体" w:hAnsi="楷体" w:cs="楷体" w:hint="eastAsia"/>
          <w:bCs/>
          <w:sz w:val="32"/>
          <w:szCs w:val="32"/>
        </w:rPr>
        <w:t>协商性：注重事务所主体地位及其权利表达</w:t>
      </w:r>
      <w:bookmarkEnd w:id="32"/>
    </w:p>
    <w:p w14:paraId="6B205F9C" w14:textId="77777777" w:rsidR="00203670" w:rsidRDefault="003E3946">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监管对象不是受体，在博弈中也有主体性、沟通性的一面。与道德性（目的性）紧密相关，回应性法治尊重每个主体及其权利表达，它不是单纯的命令控制型的法治，表现出更多的平等协商。共识不是单方主体意志的输出，而是多方主体博弈的结果。回应性监管更重视</w:t>
      </w:r>
      <w:proofErr w:type="gramStart"/>
      <w:r>
        <w:rPr>
          <w:rFonts w:ascii="仿宋" w:eastAsia="仿宋" w:hAnsi="仿宋" w:cs="Times New Roman" w:hint="eastAsia"/>
          <w:sz w:val="32"/>
          <w:szCs w:val="32"/>
        </w:rPr>
        <w:t>法暨治理</w:t>
      </w:r>
      <w:proofErr w:type="gramEnd"/>
      <w:r>
        <w:rPr>
          <w:rFonts w:ascii="仿宋" w:eastAsia="仿宋" w:hAnsi="仿宋" w:cs="Times New Roman" w:hint="eastAsia"/>
          <w:sz w:val="32"/>
          <w:szCs w:val="32"/>
        </w:rPr>
        <w:t>内在的德性和活力，不仅仅是自上而下的管理，也包括积极能动的“向上管理”。它特别强调金融市场主体并非被动的监管受体，而要积极发挥它们的作用，这样才能保证市场活力和法律规则的动态适应性。这意味着，监管不是单纯地、片面地命令控制，而是要敬畏市场、尊重市场主体，与市场相关主体积极互动、动态博弈，在实践中总结经验、汲取智慧，提炼出相</w:t>
      </w:r>
      <w:r>
        <w:rPr>
          <w:rFonts w:ascii="仿宋" w:eastAsia="仿宋" w:hAnsi="仿宋" w:cs="Times New Roman" w:hint="eastAsia"/>
          <w:sz w:val="32"/>
          <w:szCs w:val="32"/>
        </w:rPr>
        <w:lastRenderedPageBreak/>
        <w:t>对优化的监管规则和方式。如将市场主体简单地视为管理对象，就忽视了其提升内在德性、增强合</w:t>
      </w:r>
      <w:proofErr w:type="gramStart"/>
      <w:r>
        <w:rPr>
          <w:rFonts w:ascii="仿宋" w:eastAsia="仿宋" w:hAnsi="仿宋" w:cs="Times New Roman" w:hint="eastAsia"/>
          <w:sz w:val="32"/>
          <w:szCs w:val="32"/>
        </w:rPr>
        <w:t>规</w:t>
      </w:r>
      <w:proofErr w:type="gramEnd"/>
      <w:r>
        <w:rPr>
          <w:rFonts w:ascii="仿宋" w:eastAsia="仿宋" w:hAnsi="仿宋" w:cs="Times New Roman" w:hint="eastAsia"/>
          <w:sz w:val="32"/>
          <w:szCs w:val="32"/>
        </w:rPr>
        <w:t>经营的意愿和能力，也容易压抑市场发展的客观需要。但不可否认，市场秩序能不能完全地自发形成，它需要政府予以引导和促进，对一些恶劣的、顽固的违法行为也应予以及时、严厉和有效的打击。</w:t>
      </w:r>
    </w:p>
    <w:p w14:paraId="5400DB08" w14:textId="77777777" w:rsidR="00203670" w:rsidRDefault="003E3946">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对事务所的监管执法同样要贯彻这样的理念。</w:t>
      </w:r>
      <w:r>
        <w:rPr>
          <w:rFonts w:ascii="仿宋" w:eastAsia="仿宋" w:hAnsi="仿宋" w:hint="eastAsia"/>
          <w:sz w:val="32"/>
          <w:szCs w:val="32"/>
        </w:rPr>
        <w:t>简单地将事务所预设为处心积虑逃避处罚的监管受体，会引发无休止的、充满对立性的“猫鼠游戏”。若</w:t>
      </w:r>
      <w:r>
        <w:rPr>
          <w:rFonts w:ascii="仿宋" w:eastAsia="仿宋" w:hAnsi="仿宋" w:cs="Times New Roman" w:hint="eastAsia"/>
          <w:sz w:val="32"/>
          <w:szCs w:val="32"/>
        </w:rPr>
        <w:t>事务所无明显对抗监管部门的做法（如拒不提供审计工作底稿、相互串通规避调查等），则不应先入为主或片面地将事务所提出的异议、意见视为对监管权威的挑战，而应把它视为在监管部门指导、监督下共同协商和解决问题的机会。因为，监管部门的立场和角色也意味着它不如事务所那样具有“春江水暖鸭先知”的市场敏感性，而市场的动态发展决定了监管部门不可能及时、全面地掌握所有信息，采取何种监管处罚方式及其效果如何，都需要通过双方的沟通、博弈予以验证和不断完善。</w:t>
      </w:r>
    </w:p>
    <w:p w14:paraId="3FDFA962" w14:textId="55A7CE04" w:rsidR="00203670" w:rsidRDefault="003E3946">
      <w:pPr>
        <w:numPr>
          <w:ilvl w:val="0"/>
          <w:numId w:val="2"/>
        </w:numPr>
        <w:spacing w:line="560" w:lineRule="exact"/>
        <w:ind w:firstLineChars="200" w:firstLine="640"/>
        <w:outlineLvl w:val="1"/>
        <w:rPr>
          <w:rFonts w:ascii="楷体" w:eastAsia="楷体" w:hAnsi="楷体" w:cs="楷体" w:hint="eastAsia"/>
          <w:bCs/>
          <w:sz w:val="32"/>
          <w:szCs w:val="32"/>
        </w:rPr>
      </w:pPr>
      <w:bookmarkStart w:id="33" w:name="_Toc17925"/>
      <w:r>
        <w:rPr>
          <w:rFonts w:ascii="楷体" w:eastAsia="楷体" w:hAnsi="楷体" w:cs="楷体" w:hint="eastAsia"/>
          <w:bCs/>
          <w:sz w:val="32"/>
          <w:szCs w:val="32"/>
        </w:rPr>
        <w:t>预防性：注重事务所的</w:t>
      </w:r>
      <w:r w:rsidR="005B0792">
        <w:rPr>
          <w:rFonts w:ascii="楷体" w:eastAsia="楷体" w:hAnsi="楷体" w:cs="楷体" w:hint="eastAsia"/>
          <w:bCs/>
          <w:sz w:val="32"/>
          <w:szCs w:val="32"/>
        </w:rPr>
        <w:t>质量管理</w:t>
      </w:r>
      <w:r>
        <w:rPr>
          <w:rFonts w:ascii="楷体" w:eastAsia="楷体" w:hAnsi="楷体" w:cs="楷体" w:hint="eastAsia"/>
          <w:bCs/>
          <w:sz w:val="32"/>
          <w:szCs w:val="32"/>
        </w:rPr>
        <w:t>合</w:t>
      </w:r>
      <w:proofErr w:type="gramStart"/>
      <w:r>
        <w:rPr>
          <w:rFonts w:ascii="楷体" w:eastAsia="楷体" w:hAnsi="楷体" w:cs="楷体" w:hint="eastAsia"/>
          <w:bCs/>
          <w:sz w:val="32"/>
          <w:szCs w:val="32"/>
        </w:rPr>
        <w:t>规</w:t>
      </w:r>
      <w:proofErr w:type="gramEnd"/>
      <w:r>
        <w:rPr>
          <w:rFonts w:ascii="楷体" w:eastAsia="楷体" w:hAnsi="楷体" w:cs="楷体" w:hint="eastAsia"/>
          <w:bCs/>
          <w:sz w:val="32"/>
          <w:szCs w:val="32"/>
        </w:rPr>
        <w:t>建设</w:t>
      </w:r>
      <w:bookmarkEnd w:id="33"/>
    </w:p>
    <w:p w14:paraId="0271E886" w14:textId="77777777" w:rsidR="00203670" w:rsidRDefault="003E3946">
      <w:pPr>
        <w:spacing w:line="560" w:lineRule="exact"/>
        <w:ind w:firstLineChars="200" w:firstLine="640"/>
        <w:rPr>
          <w:rFonts w:ascii="仿宋" w:eastAsia="仿宋" w:hAnsi="仿宋" w:cs="Times New Roman" w:hint="eastAsia"/>
          <w:sz w:val="32"/>
          <w:szCs w:val="32"/>
        </w:rPr>
      </w:pPr>
      <w:r>
        <w:rPr>
          <w:rFonts w:ascii="仿宋" w:eastAsia="仿宋" w:hAnsi="仿宋" w:cs="Times New Roman" w:hint="eastAsia"/>
          <w:sz w:val="32"/>
          <w:szCs w:val="32"/>
        </w:rPr>
        <w:t>基于目的性或道德性的</w:t>
      </w:r>
      <w:proofErr w:type="gramStart"/>
      <w:r>
        <w:rPr>
          <w:rFonts w:ascii="仿宋" w:eastAsia="仿宋" w:hAnsi="仿宋" w:cs="Times New Roman" w:hint="eastAsia"/>
          <w:sz w:val="32"/>
          <w:szCs w:val="32"/>
        </w:rPr>
        <w:t>考量</w:t>
      </w:r>
      <w:proofErr w:type="gramEnd"/>
      <w:r>
        <w:rPr>
          <w:rFonts w:ascii="仿宋" w:eastAsia="仿宋" w:hAnsi="仿宋" w:cs="Times New Roman" w:hint="eastAsia"/>
          <w:sz w:val="32"/>
          <w:szCs w:val="32"/>
        </w:rPr>
        <w:t>，回应性监管立足于更广阔的社会治理视角。社会治理的更高境界不是事后的弥补或救济，而是防患于未然，也就是所谓的“不治已病治未病”。在制度设计和实施层面，回应性监管把企业的内控合</w:t>
      </w:r>
      <w:proofErr w:type="gramStart"/>
      <w:r>
        <w:rPr>
          <w:rFonts w:ascii="仿宋" w:eastAsia="仿宋" w:hAnsi="仿宋" w:cs="Times New Roman" w:hint="eastAsia"/>
          <w:sz w:val="32"/>
          <w:szCs w:val="32"/>
        </w:rPr>
        <w:t>规</w:t>
      </w:r>
      <w:proofErr w:type="gramEnd"/>
      <w:r>
        <w:rPr>
          <w:rFonts w:ascii="仿宋" w:eastAsia="仿宋" w:hAnsi="仿宋" w:cs="Times New Roman" w:hint="eastAsia"/>
          <w:sz w:val="32"/>
          <w:szCs w:val="32"/>
        </w:rPr>
        <w:t>纳入到规制视野中，着眼于企业社会责任感的提高、义利相容机制建设的完善和全流程风险隐患的排查，努力塑造预防性法治的基本面貌。</w:t>
      </w:r>
    </w:p>
    <w:p w14:paraId="66F220F0" w14:textId="5FFF629E" w:rsidR="00203670" w:rsidRDefault="003E3946">
      <w:pPr>
        <w:spacing w:line="560" w:lineRule="exact"/>
        <w:ind w:firstLineChars="200" w:firstLine="640"/>
        <w:rPr>
          <w:rFonts w:ascii="仿宋" w:eastAsia="仿宋" w:hAnsi="仿宋" w:hint="eastAsia"/>
          <w:sz w:val="32"/>
          <w:szCs w:val="32"/>
        </w:rPr>
      </w:pPr>
      <w:r>
        <w:rPr>
          <w:rFonts w:ascii="仿宋" w:eastAsia="仿宋" w:hAnsi="仿宋" w:cs="Times New Roman" w:hint="eastAsia"/>
          <w:sz w:val="32"/>
          <w:szCs w:val="32"/>
        </w:rPr>
        <w:lastRenderedPageBreak/>
        <w:t>具体到对事务所的监管执法，预防性的日常检查、做实做细</w:t>
      </w:r>
      <w:r w:rsidR="005B0792">
        <w:rPr>
          <w:rFonts w:ascii="仿宋" w:eastAsia="仿宋" w:hAnsi="仿宋" w:cs="Times New Roman" w:hint="eastAsia"/>
          <w:sz w:val="32"/>
          <w:szCs w:val="32"/>
        </w:rPr>
        <w:t>质量管理</w:t>
      </w:r>
      <w:r>
        <w:rPr>
          <w:rFonts w:ascii="仿宋" w:eastAsia="仿宋" w:hAnsi="仿宋" w:cs="Times New Roman" w:hint="eastAsia"/>
          <w:sz w:val="32"/>
          <w:szCs w:val="32"/>
        </w:rPr>
        <w:t>合</w:t>
      </w:r>
      <w:proofErr w:type="gramStart"/>
      <w:r>
        <w:rPr>
          <w:rFonts w:ascii="仿宋" w:eastAsia="仿宋" w:hAnsi="仿宋" w:cs="Times New Roman" w:hint="eastAsia"/>
          <w:sz w:val="32"/>
          <w:szCs w:val="32"/>
        </w:rPr>
        <w:t>规</w:t>
      </w:r>
      <w:proofErr w:type="gramEnd"/>
      <w:r>
        <w:rPr>
          <w:rFonts w:ascii="仿宋" w:eastAsia="仿宋" w:hAnsi="仿宋" w:cs="Times New Roman" w:hint="eastAsia"/>
          <w:sz w:val="32"/>
          <w:szCs w:val="32"/>
        </w:rPr>
        <w:t>建设就显得尤为重要。考虑到注册会计师行业的特点，应将根本的职业道德置于首要位置，并要求事务所制定、执行具体的</w:t>
      </w:r>
      <w:r w:rsidR="005B0792">
        <w:rPr>
          <w:rFonts w:ascii="仿宋" w:eastAsia="仿宋" w:hAnsi="仿宋" w:cs="Times New Roman" w:hint="eastAsia"/>
          <w:sz w:val="32"/>
          <w:szCs w:val="32"/>
        </w:rPr>
        <w:t>质量管理</w:t>
      </w:r>
      <w:r>
        <w:rPr>
          <w:rFonts w:ascii="仿宋" w:eastAsia="仿宋" w:hAnsi="仿宋" w:cs="Times New Roman" w:hint="eastAsia"/>
          <w:sz w:val="32"/>
          <w:szCs w:val="32"/>
        </w:rPr>
        <w:t>合</w:t>
      </w:r>
      <w:proofErr w:type="gramStart"/>
      <w:r>
        <w:rPr>
          <w:rFonts w:ascii="仿宋" w:eastAsia="仿宋" w:hAnsi="仿宋" w:cs="Times New Roman" w:hint="eastAsia"/>
          <w:sz w:val="32"/>
          <w:szCs w:val="32"/>
        </w:rPr>
        <w:t>规</w:t>
      </w:r>
      <w:proofErr w:type="gramEnd"/>
      <w:r>
        <w:rPr>
          <w:rFonts w:ascii="仿宋" w:eastAsia="仿宋" w:hAnsi="仿宋" w:cs="Times New Roman" w:hint="eastAsia"/>
          <w:sz w:val="32"/>
          <w:szCs w:val="32"/>
        </w:rPr>
        <w:t>体系。且在后续的日常检查、监管执法中，始终把事务所的</w:t>
      </w:r>
      <w:r w:rsidR="005B0792">
        <w:rPr>
          <w:rFonts w:ascii="仿宋" w:eastAsia="仿宋" w:hAnsi="仿宋" w:cs="Times New Roman" w:hint="eastAsia"/>
          <w:sz w:val="32"/>
          <w:szCs w:val="32"/>
        </w:rPr>
        <w:t>质量管理</w:t>
      </w:r>
      <w:r>
        <w:rPr>
          <w:rFonts w:ascii="仿宋" w:eastAsia="仿宋" w:hAnsi="仿宋" w:cs="Times New Roman" w:hint="eastAsia"/>
          <w:sz w:val="32"/>
          <w:szCs w:val="32"/>
        </w:rPr>
        <w:t>合</w:t>
      </w:r>
      <w:proofErr w:type="gramStart"/>
      <w:r>
        <w:rPr>
          <w:rFonts w:ascii="仿宋" w:eastAsia="仿宋" w:hAnsi="仿宋" w:cs="Times New Roman" w:hint="eastAsia"/>
          <w:sz w:val="32"/>
          <w:szCs w:val="32"/>
        </w:rPr>
        <w:t>规</w:t>
      </w:r>
      <w:proofErr w:type="gramEnd"/>
      <w:r>
        <w:rPr>
          <w:rFonts w:ascii="仿宋" w:eastAsia="仿宋" w:hAnsi="仿宋" w:cs="Times New Roman" w:hint="eastAsia"/>
          <w:sz w:val="32"/>
          <w:szCs w:val="32"/>
        </w:rPr>
        <w:t>体系作为重要内容，进行持续性的跟踪，督促其不断优化细化，以适应新的发展需要。对于一些细小却关键的职业道德问题，应绝不姑息、整改到底。</w:t>
      </w:r>
      <w:proofErr w:type="gramStart"/>
      <w:r>
        <w:rPr>
          <w:rFonts w:ascii="仿宋" w:eastAsia="仿宋" w:hAnsi="仿宋" w:cs="Times New Roman" w:hint="eastAsia"/>
          <w:sz w:val="32"/>
          <w:szCs w:val="32"/>
        </w:rPr>
        <w:t>域外某</w:t>
      </w:r>
      <w:proofErr w:type="gramEnd"/>
      <w:r>
        <w:rPr>
          <w:rFonts w:ascii="仿宋" w:eastAsia="仿宋" w:hAnsi="仿宋" w:cs="Times New Roman" w:hint="eastAsia"/>
          <w:sz w:val="32"/>
          <w:szCs w:val="32"/>
        </w:rPr>
        <w:t>事务所对其职员职业资格考试的作弊行为拒不提供证据，被</w:t>
      </w:r>
      <w:r>
        <w:rPr>
          <w:rFonts w:ascii="仿宋" w:eastAsia="仿宋" w:hAnsi="仿宋" w:hint="eastAsia"/>
          <w:sz w:val="32"/>
          <w:szCs w:val="32"/>
        </w:rPr>
        <w:t>美国证券交易委员会（</w:t>
      </w:r>
      <w:r>
        <w:rPr>
          <w:rFonts w:ascii="仿宋" w:eastAsia="仿宋" w:hAnsi="仿宋" w:cs="Times New Roman" w:hint="eastAsia"/>
          <w:sz w:val="32"/>
          <w:szCs w:val="32"/>
        </w:rPr>
        <w:t>SEC</w:t>
      </w:r>
      <w:r>
        <w:rPr>
          <w:rFonts w:ascii="仿宋" w:eastAsia="仿宋" w:hAnsi="仿宋" w:hint="eastAsia"/>
          <w:sz w:val="32"/>
          <w:szCs w:val="32"/>
        </w:rPr>
        <w:t>）处以上亿美元的罚金处罚、要求其自我整改、接受针对性的培训和检查等，这样的做法精准到位，能起到防患于未然的效果。</w:t>
      </w:r>
    </w:p>
    <w:p w14:paraId="71E6833C" w14:textId="77777777" w:rsidR="00203670" w:rsidRDefault="003E3946">
      <w:pPr>
        <w:numPr>
          <w:ilvl w:val="0"/>
          <w:numId w:val="2"/>
        </w:numPr>
        <w:spacing w:line="560" w:lineRule="exact"/>
        <w:ind w:firstLineChars="200" w:firstLine="640"/>
        <w:outlineLvl w:val="1"/>
        <w:rPr>
          <w:rFonts w:ascii="楷体" w:eastAsia="楷体" w:hAnsi="楷体" w:cs="楷体" w:hint="eastAsia"/>
          <w:bCs/>
          <w:sz w:val="32"/>
          <w:szCs w:val="32"/>
        </w:rPr>
      </w:pPr>
      <w:bookmarkStart w:id="34" w:name="_Toc29437"/>
      <w:r>
        <w:rPr>
          <w:rFonts w:ascii="楷体" w:eastAsia="楷体" w:hAnsi="楷体" w:cs="楷体" w:hint="eastAsia"/>
          <w:bCs/>
          <w:sz w:val="32"/>
          <w:szCs w:val="32"/>
        </w:rPr>
        <w:t>针对性：注重事务所规制体系的完善</w:t>
      </w:r>
      <w:bookmarkEnd w:id="34"/>
    </w:p>
    <w:p w14:paraId="334582CB" w14:textId="77777777" w:rsidR="00203670" w:rsidRDefault="003E3946">
      <w:pPr>
        <w:spacing w:line="560" w:lineRule="exact"/>
        <w:ind w:rightChars="-27" w:right="-57" w:firstLineChars="200" w:firstLine="640"/>
        <w:rPr>
          <w:rFonts w:ascii="仿宋" w:eastAsia="仿宋" w:hAnsi="仿宋" w:cs="Times New Roman" w:hint="eastAsia"/>
          <w:sz w:val="32"/>
          <w:szCs w:val="32"/>
        </w:rPr>
      </w:pPr>
      <w:r>
        <w:rPr>
          <w:rFonts w:ascii="仿宋" w:eastAsia="仿宋" w:hAnsi="仿宋" w:cs="Times New Roman" w:hint="eastAsia"/>
          <w:sz w:val="32"/>
          <w:szCs w:val="32"/>
        </w:rPr>
        <w:t>立足道德性、协商性，回应性监管理论发展</w:t>
      </w:r>
      <w:proofErr w:type="gramStart"/>
      <w:r>
        <w:rPr>
          <w:rFonts w:ascii="仿宋" w:eastAsia="仿宋" w:hAnsi="仿宋" w:cs="Times New Roman" w:hint="eastAsia"/>
          <w:sz w:val="32"/>
          <w:szCs w:val="32"/>
        </w:rPr>
        <w:t>出过责相当</w:t>
      </w:r>
      <w:proofErr w:type="gramEnd"/>
      <w:r>
        <w:rPr>
          <w:rFonts w:ascii="仿宋" w:eastAsia="仿宋" w:hAnsi="仿宋" w:cs="Times New Roman" w:hint="eastAsia"/>
          <w:sz w:val="32"/>
          <w:szCs w:val="32"/>
        </w:rPr>
        <w:t>、手段和目的统一的规制系统。该理论认为，公私混合的规制体系会比单纯使用政府管制或完全依靠市场调节取得更好的效果。要根据不同的产业结构、市场主体的动机和自我规制的能力以及不同的时机，而采用不同程度的干预和不同的规制措施，此即针锋相对法（tit-for-tat）。作者把回应性规制方法概括和描述为“金字塔”理论，包括“规制措施金字塔”和“规制策略金字塔”。多数的政府措施应该是位于“强制金字塔”底端的教育、说服，再根据情况而升级到警告、罚款、暂停营业乃至于最严厉的吊销执照。从策略角度，政府首先应该鼓励行业自我规制，当自我规制达不到预期效果</w:t>
      </w:r>
      <w:r>
        <w:rPr>
          <w:rFonts w:ascii="仿宋" w:eastAsia="仿宋" w:hAnsi="仿宋" w:cs="Times New Roman" w:hint="eastAsia"/>
          <w:sz w:val="32"/>
          <w:szCs w:val="32"/>
        </w:rPr>
        <w:lastRenderedPageBreak/>
        <w:t>时，政府将采用强化型自我规制（enforced self-regulation），比如企业根据自己的情况来制定规则，但要接受政府的审批和监督（合</w:t>
      </w:r>
      <w:proofErr w:type="gramStart"/>
      <w:r>
        <w:rPr>
          <w:rFonts w:ascii="仿宋" w:eastAsia="仿宋" w:hAnsi="仿宋" w:cs="Times New Roman" w:hint="eastAsia"/>
          <w:sz w:val="32"/>
          <w:szCs w:val="32"/>
        </w:rPr>
        <w:t>规</w:t>
      </w:r>
      <w:proofErr w:type="gramEnd"/>
      <w:r>
        <w:rPr>
          <w:rFonts w:ascii="仿宋" w:eastAsia="仿宋" w:hAnsi="仿宋" w:cs="Times New Roman" w:hint="eastAsia"/>
          <w:sz w:val="32"/>
          <w:szCs w:val="32"/>
        </w:rPr>
        <w:t>机制），如果这种强化型自我规制还不能奏效的话，政府就会采取传统的命令控制型规制。</w:t>
      </w:r>
      <w:r>
        <w:rPr>
          <w:rStyle w:val="af3"/>
          <w:rFonts w:ascii="仿宋" w:eastAsia="仿宋" w:hAnsi="仿宋" w:cs="Times New Roman" w:hint="eastAsia"/>
          <w:sz w:val="32"/>
          <w:szCs w:val="32"/>
        </w:rPr>
        <w:footnoteReference w:id="24"/>
      </w:r>
      <w:r>
        <w:rPr>
          <w:rFonts w:ascii="仿宋" w:eastAsia="仿宋" w:hAnsi="仿宋" w:cs="Times New Roman" w:hint="eastAsia"/>
          <w:sz w:val="32"/>
          <w:szCs w:val="32"/>
        </w:rPr>
        <w:t>这种措施、策略所形成的管制体系有很强的针对性、适应性，因为其考虑到了博弈过程形成和维护合作的成本收益问题以及个人或企业的复杂动机：双方都先采取合作的姿态，直到有一方背弃了这种合作关系，另一方再采用惩罚的报复手段，从而使双方又回到合作的态势并重建合作型关系。</w:t>
      </w:r>
    </w:p>
    <w:p w14:paraId="0CB7721A" w14:textId="77777777" w:rsidR="00203670" w:rsidRDefault="003E3946">
      <w:pPr>
        <w:spacing w:line="360" w:lineRule="auto"/>
        <w:rPr>
          <w:rFonts w:ascii="Times New Roman" w:eastAsia="宋体" w:hAnsi="Times New Roman" w:cs="Times New Roman"/>
          <w:sz w:val="24"/>
        </w:rPr>
      </w:pPr>
      <w:r>
        <w:rPr>
          <w:noProof/>
          <w:sz w:val="24"/>
        </w:rPr>
        <mc:AlternateContent>
          <mc:Choice Requires="wps">
            <w:drawing>
              <wp:anchor distT="0" distB="0" distL="114300" distR="114300" simplePos="0" relativeHeight="251664384" behindDoc="0" locked="0" layoutInCell="1" allowOverlap="1" wp14:anchorId="542DC561" wp14:editId="7AFA03CE">
                <wp:simplePos x="0" y="0"/>
                <wp:positionH relativeFrom="column">
                  <wp:posOffset>2971165</wp:posOffset>
                </wp:positionH>
                <wp:positionV relativeFrom="paragraph">
                  <wp:posOffset>170180</wp:posOffset>
                </wp:positionV>
                <wp:extent cx="2781300" cy="1631315"/>
                <wp:effectExtent l="13970" t="9525" r="24130" b="10160"/>
                <wp:wrapNone/>
                <wp:docPr id="10" name="等腰三角形 10"/>
                <wp:cNvGraphicFramePr/>
                <a:graphic xmlns:a="http://schemas.openxmlformats.org/drawingml/2006/main">
                  <a:graphicData uri="http://schemas.microsoft.com/office/word/2010/wordprocessingShape">
                    <wps:wsp>
                      <wps:cNvSpPr/>
                      <wps:spPr>
                        <a:xfrm>
                          <a:off x="0" y="0"/>
                          <a:ext cx="2781300" cy="1631315"/>
                        </a:xfrm>
                        <a:prstGeom prst="triangle">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74E5A133" w14:textId="77777777" w:rsidR="00203670" w:rsidRDefault="003E3946">
                            <w:pPr>
                              <w:spacing w:line="360" w:lineRule="auto"/>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强化型自我规制</w:t>
                            </w:r>
                          </w:p>
                          <w:p w14:paraId="286615DB" w14:textId="77777777" w:rsidR="00203670" w:rsidRDefault="003E3946">
                            <w:pPr>
                              <w:spacing w:line="360"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自我规制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42DC56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0" o:spid="_x0000_s1026" type="#_x0000_t5" style="position:absolute;left:0;text-align:left;margin-left:233.95pt;margin-top:13.4pt;width:219pt;height:128.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" filled="f" strokecolor="#2d53a0 [2404]" strokeweight="1pt">
                <v:textbox>
                  <w:txbxContent>
                    <w:p w14:paraId="74E5A133" w14:textId="77777777" w:rsidR="00203670" w:rsidRDefault="003E3946">
                      <w:pPr>
                        <w:spacing w:line="360" w:lineRule="auto"/>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强化型自我规制</w:t>
                      </w:r>
                    </w:p>
                    <w:p w14:paraId="286615DB" w14:textId="77777777" w:rsidR="00203670" w:rsidRDefault="003E3946">
                      <w:pPr>
                        <w:spacing w:line="360" w:lineRule="auto"/>
                        <w:ind w:firstLineChars="200" w:firstLine="480"/>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自我规制</w:t>
                      </w:r>
                    </w:p>
                  </w:txbxContent>
                </v:textbox>
              </v:shape>
            </w:pict>
          </mc:Fallback>
        </mc:AlternateContent>
      </w:r>
      <w:r>
        <w:rPr>
          <w:noProof/>
          <w:sz w:val="24"/>
        </w:rPr>
        <mc:AlternateContent>
          <mc:Choice Requires="wps">
            <w:drawing>
              <wp:anchor distT="0" distB="0" distL="114300" distR="114300" simplePos="0" relativeHeight="251659264" behindDoc="0" locked="0" layoutInCell="1" allowOverlap="1" wp14:anchorId="6470E27B" wp14:editId="59AD7135">
                <wp:simplePos x="0" y="0"/>
                <wp:positionH relativeFrom="column">
                  <wp:posOffset>62865</wp:posOffset>
                </wp:positionH>
                <wp:positionV relativeFrom="paragraph">
                  <wp:posOffset>176530</wp:posOffset>
                </wp:positionV>
                <wp:extent cx="2781300" cy="1631315"/>
                <wp:effectExtent l="13970" t="9525" r="24130" b="10160"/>
                <wp:wrapNone/>
                <wp:docPr id="4" name="等腰三角形 4"/>
                <wp:cNvGraphicFramePr/>
                <a:graphic xmlns:a="http://schemas.openxmlformats.org/drawingml/2006/main">
                  <a:graphicData uri="http://schemas.microsoft.com/office/word/2010/wordprocessingShape">
                    <wps:wsp>
                      <wps:cNvSpPr/>
                      <wps:spPr>
                        <a:xfrm>
                          <a:off x="2590165" y="2589530"/>
                          <a:ext cx="2781300" cy="1631315"/>
                        </a:xfrm>
                        <a:prstGeom prst="triangle">
                          <a:avLst/>
                        </a:prstGeom>
                        <a:noFill/>
                      </wps:spPr>
                      <wps:style>
                        <a:lnRef idx="2">
                          <a:schemeClr val="accent1">
                            <a:lumMod val="75000"/>
                          </a:schemeClr>
                        </a:lnRef>
                        <a:fillRef idx="1">
                          <a:schemeClr val="accent1"/>
                        </a:fillRef>
                        <a:effectRef idx="0">
                          <a:srgbClr val="FFFFFF"/>
                        </a:effectRef>
                        <a:fontRef idx="minor">
                          <a:schemeClr val="lt1"/>
                        </a:fontRef>
                      </wps:style>
                      <wps:txbx>
                        <w:txbxContent>
                          <w:p w14:paraId="7FDCD7D5" w14:textId="77777777" w:rsidR="00203670" w:rsidRDefault="003E3946">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470E27B" id="等腰三角形 4" o:spid="_x0000_s1027" type="#_x0000_t5" style="position:absolute;left:0;text-align:left;margin-left:4.95pt;margin-top:13.9pt;width:219pt;height:128.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" filled="f" strokecolor="#2d53a0 [2404]" strokeweight="1pt">
                <v:textbox>
                  <w:txbxContent>
                    <w:p w14:paraId="7FDCD7D5" w14:textId="77777777" w:rsidR="00203670" w:rsidRDefault="003E3946">
                      <w:r>
                        <w:rPr>
                          <w:rFonts w:hint="eastAsia"/>
                        </w:rPr>
                        <w:t xml:space="preserve">    </w:t>
                      </w:r>
                    </w:p>
                  </w:txbxContent>
                </v:textbox>
              </v:shape>
            </w:pict>
          </mc:Fallback>
        </mc:AlternateContent>
      </w:r>
    </w:p>
    <w:p w14:paraId="74A10671" w14:textId="77777777" w:rsidR="00203670" w:rsidRDefault="003E3946">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 xml:space="preserve">            </w:t>
      </w:r>
      <w:r>
        <w:rPr>
          <w:rFonts w:ascii="Times New Roman" w:eastAsia="宋体" w:hAnsi="Times New Roman" w:cs="Times New Roman" w:hint="eastAsia"/>
          <w:sz w:val="18"/>
          <w:szCs w:val="18"/>
        </w:rPr>
        <w:t>吊销执照</w:t>
      </w:r>
      <w:r>
        <w:rPr>
          <w:rFonts w:ascii="Times New Roman" w:eastAsia="宋体" w:hAnsi="Times New Roman" w:cs="Times New Roman" w:hint="eastAsia"/>
          <w:sz w:val="18"/>
          <w:szCs w:val="18"/>
        </w:rPr>
        <w:t xml:space="preserve">                                </w:t>
      </w:r>
    </w:p>
    <w:p w14:paraId="60810354" w14:textId="77777777" w:rsidR="00203670" w:rsidRDefault="003E3946">
      <w:pPr>
        <w:spacing w:line="360" w:lineRule="auto"/>
        <w:ind w:firstLineChars="200" w:firstLine="480"/>
        <w:rPr>
          <w:rFonts w:ascii="Times New Roman" w:eastAsia="宋体" w:hAnsi="Times New Roman" w:cs="Times New Roman"/>
          <w:sz w:val="24"/>
        </w:rPr>
      </w:pPr>
      <w:r>
        <w:rPr>
          <w:noProof/>
          <w:sz w:val="24"/>
        </w:rPr>
        <mc:AlternateContent>
          <mc:Choice Requires="wps">
            <w:drawing>
              <wp:anchor distT="0" distB="0" distL="114300" distR="114300" simplePos="0" relativeHeight="251661312" behindDoc="0" locked="0" layoutInCell="1" allowOverlap="1" wp14:anchorId="6DDCE700" wp14:editId="4E96E8A7">
                <wp:simplePos x="0" y="0"/>
                <wp:positionH relativeFrom="column">
                  <wp:posOffset>869315</wp:posOffset>
                </wp:positionH>
                <wp:positionV relativeFrom="paragraph">
                  <wp:posOffset>252730</wp:posOffset>
                </wp:positionV>
                <wp:extent cx="1162050" cy="24130"/>
                <wp:effectExtent l="0" t="6350" r="6350" b="7620"/>
                <wp:wrapNone/>
                <wp:docPr id="6" name="直接连接符 6"/>
                <wp:cNvGraphicFramePr/>
                <a:graphic xmlns:a="http://schemas.openxmlformats.org/drawingml/2006/main">
                  <a:graphicData uri="http://schemas.microsoft.com/office/word/2010/wordprocessingShape">
                    <wps:wsp>
                      <wps:cNvCnPr/>
                      <wps:spPr>
                        <a:xfrm flipV="1">
                          <a:off x="1618615" y="3484880"/>
                          <a:ext cx="1162050" cy="2413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68.45pt;margin-top:19.9pt;height:1.9pt;width:91.5pt;z-index:251661312;mso-width-relative:page;mso-height-relative:page;" filled="f" stroked="t" coordsize="21600,21600" o:gfxdata="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NbBjNUAAAAJAQAADwAAAAAAAAABACAAAAAiAAAAZHJzL2Rvd25y&#10;ZXYueG1sUEsBAhQAFAAAAAgAh07iQGN2VzcBAgAAzAMAAA4AAAAAAAAAAQAgAAAAJAEAAGRycy9l&#10;Mm9Eb2MueG1sUEsFBgAAAAAGAAYAWQEAAJcFAAAAAA==&#10;">
                <v:fill on="f" focussize="0,0"/>
                <v:stroke weight="1pt" color="#4874CB [3204]" miterlimit="8" joinstyle="miter"/>
                <v:imagedata o:title=""/>
                <o:lock v:ext="edit" aspectratio="f"/>
              </v:line>
            </w:pict>
          </mc:Fallback>
        </mc:AlternateContent>
      </w:r>
      <w:r>
        <w:rPr>
          <w:noProof/>
          <w:sz w:val="24"/>
        </w:rPr>
        <mc:AlternateContent>
          <mc:Choice Requires="wps">
            <w:drawing>
              <wp:anchor distT="0" distB="0" distL="114300" distR="114300" simplePos="0" relativeHeight="251660288" behindDoc="0" locked="0" layoutInCell="1" allowOverlap="1" wp14:anchorId="0E68400A" wp14:editId="506D6C4A">
                <wp:simplePos x="0" y="0"/>
                <wp:positionH relativeFrom="column">
                  <wp:posOffset>1148715</wp:posOffset>
                </wp:positionH>
                <wp:positionV relativeFrom="paragraph">
                  <wp:posOffset>-52070</wp:posOffset>
                </wp:positionV>
                <wp:extent cx="635000" cy="24130"/>
                <wp:effectExtent l="0" t="6350" r="12700" b="7620"/>
                <wp:wrapNone/>
                <wp:docPr id="5" name="直接连接符 5"/>
                <wp:cNvGraphicFramePr/>
                <a:graphic xmlns:a="http://schemas.openxmlformats.org/drawingml/2006/main">
                  <a:graphicData uri="http://schemas.microsoft.com/office/word/2010/wordprocessingShape">
                    <wps:wsp>
                      <wps:cNvCnPr/>
                      <wps:spPr>
                        <a:xfrm flipV="1">
                          <a:off x="2088515" y="3103880"/>
                          <a:ext cx="635000" cy="2413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90.45pt;margin-top:-4.1pt;height:1.9pt;width:50pt;z-index:251660288;mso-width-relative:page;mso-height-relative:page;" filled="f" stroked="t" coordsize="21600,21600" o:gfxdata="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hf061AAAAAkBAAAPAAAAAAAAAAEAIAAAACIAAABkcnMvZG93bnJl&#10;di54bWxQSwECFAAUAAAACACHTuJA/fqNLQECAADLAwAADgAAAAAAAAABACAAAAAjAQAAZHJzL2Uy&#10;b0RvYy54bWxQSwUGAAAAAAYABgBZAQAAlgUAAAAA&#10;">
                <v:fill on="f" focussize="0,0"/>
                <v:stroke weight="1pt" color="#4874CB [3204]" miterlimit="8" joinstyle="miter"/>
                <v:imagedata o:title=""/>
                <o:lock v:ext="edit" aspectratio="f"/>
              </v:line>
            </w:pict>
          </mc:Fallback>
        </mc:AlternateConten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暂停营业</w:t>
      </w:r>
      <w:r>
        <w:rPr>
          <w:rFonts w:ascii="Times New Roman" w:eastAsia="宋体" w:hAnsi="Times New Roman" w:cs="Times New Roman" w:hint="eastAsia"/>
          <w:sz w:val="24"/>
        </w:rPr>
        <w:t xml:space="preserve">                          </w:t>
      </w:r>
      <w:r>
        <w:rPr>
          <w:rFonts w:ascii="Times New Roman" w:eastAsia="宋体" w:hAnsi="Times New Roman" w:cs="Times New Roman" w:hint="eastAsia"/>
          <w:szCs w:val="21"/>
        </w:rPr>
        <w:t>命令控制型规制</w:t>
      </w:r>
    </w:p>
    <w:p w14:paraId="5069851B" w14:textId="77777777" w:rsidR="00203670" w:rsidRDefault="003E3946">
      <w:pPr>
        <w:spacing w:line="360" w:lineRule="auto"/>
        <w:ind w:firstLineChars="200" w:firstLine="480"/>
        <w:rPr>
          <w:rFonts w:ascii="Times New Roman" w:eastAsia="宋体" w:hAnsi="Times New Roman" w:cs="Times New Roman"/>
          <w:sz w:val="24"/>
        </w:rPr>
      </w:pPr>
      <w:r>
        <w:rPr>
          <w:noProof/>
          <w:sz w:val="24"/>
        </w:rPr>
        <mc:AlternateContent>
          <mc:Choice Requires="wps">
            <w:drawing>
              <wp:anchor distT="0" distB="0" distL="114300" distR="114300" simplePos="0" relativeHeight="251665408" behindDoc="0" locked="0" layoutInCell="1" allowOverlap="1" wp14:anchorId="10E0369E" wp14:editId="049BF5D0">
                <wp:simplePos x="0" y="0"/>
                <wp:positionH relativeFrom="column">
                  <wp:posOffset>3666490</wp:posOffset>
                </wp:positionH>
                <wp:positionV relativeFrom="paragraph">
                  <wp:posOffset>94615</wp:posOffset>
                </wp:positionV>
                <wp:extent cx="1390650" cy="0"/>
                <wp:effectExtent l="0" t="6350" r="6350" b="6350"/>
                <wp:wrapNone/>
                <wp:docPr id="11" name="直接连接符 11"/>
                <wp:cNvGraphicFramePr/>
                <a:graphic xmlns:a="http://schemas.openxmlformats.org/drawingml/2006/main">
                  <a:graphicData uri="http://schemas.microsoft.com/office/word/2010/wordprocessingShape">
                    <wps:wsp>
                      <wps:cNvCnPr/>
                      <wps:spPr>
                        <a:xfrm>
                          <a:off x="4809490" y="3386455"/>
                          <a:ext cx="139065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88.7pt;margin-top:7.45pt;height:0pt;width:109.5pt;z-index:251665408;mso-width-relative:page;mso-height-relative:page;" filled="f" stroked="t" coordsize="21600,21600" o:gfxdata="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8lorvVAAAACQEAAA8AAAAAAAAAAQAgAAAAIgAAAGRycy9kb3ducmV2LnhtbFBL&#10;AQIUABQAAAAIAIdO4kCwiOpf+QEAAMADAAAOAAAAAAAAAAEAIAAAACQBAABkcnMvZTJvRG9jLnht&#10;bFBLBQYAAAAABgAGAFkBAACPBQAAAAA=&#10;">
                <v:fill on="f" focussize="0,0"/>
                <v:stroke weight="1pt" color="#4874CB [3204]" miterlimit="8" joinstyle="miter"/>
                <v:imagedata o:title=""/>
                <o:lock v:ext="edit" aspectratio="f"/>
              </v:line>
            </w:pict>
          </mc:Fallback>
        </mc:AlternateContent>
      </w:r>
      <w:r>
        <w:rPr>
          <w:noProof/>
          <w:sz w:val="24"/>
        </w:rPr>
        <mc:AlternateContent>
          <mc:Choice Requires="wps">
            <w:drawing>
              <wp:anchor distT="0" distB="0" distL="114300" distR="114300" simplePos="0" relativeHeight="251662336" behindDoc="0" locked="0" layoutInCell="1" allowOverlap="1" wp14:anchorId="6E31D8B1" wp14:editId="0952FDFB">
                <wp:simplePos x="0" y="0"/>
                <wp:positionH relativeFrom="column">
                  <wp:posOffset>634365</wp:posOffset>
                </wp:positionH>
                <wp:positionV relativeFrom="paragraph">
                  <wp:posOffset>254000</wp:posOffset>
                </wp:positionV>
                <wp:extent cx="1644650" cy="24130"/>
                <wp:effectExtent l="0" t="6350" r="6350" b="7620"/>
                <wp:wrapNone/>
                <wp:docPr id="7" name="直接连接符 7"/>
                <wp:cNvGraphicFramePr/>
                <a:graphic xmlns:a="http://schemas.openxmlformats.org/drawingml/2006/main">
                  <a:graphicData uri="http://schemas.microsoft.com/office/word/2010/wordprocessingShape">
                    <wps:wsp>
                      <wps:cNvCnPr/>
                      <wps:spPr>
                        <a:xfrm flipV="1">
                          <a:off x="1796415" y="6838950"/>
                          <a:ext cx="1644650" cy="2413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49.95pt;margin-top:20pt;height:1.9pt;width:129.5pt;z-index:251662336;mso-width-relative:page;mso-height-relative:page;" filled="f" stroked="t" coordsize="21600,21600" o:gfxdata="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WUJ061AAAAAgBAAAPAAAAAAAAAAEAIAAAACIAAABkcnMvZG93bnJl&#10;di54bWxQSwECFAAUAAAACACHTuJAZo6xbgECAADMAwAADgAAAAAAAAABACAAAAAjAQAAZHJzL2Uy&#10;b0RvYy54bWxQSwUGAAAAAAYABgBZAQAAlgUAAAAA&#10;">
                <v:fill on="f" focussize="0,0"/>
                <v:stroke weight="1pt" color="#4874CB [3204]" miterlimit="8" joinstyle="miter"/>
                <v:imagedata o:title=""/>
                <o:lock v:ext="edit" aspectratio="f"/>
              </v:line>
            </w:pict>
          </mc:Fallback>
        </mc:AlternateConten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罚款</w:t>
      </w:r>
    </w:p>
    <w:p w14:paraId="7B24439B" w14:textId="77777777" w:rsidR="00203670" w:rsidRDefault="003E3946">
      <w:pPr>
        <w:spacing w:line="360" w:lineRule="auto"/>
        <w:ind w:firstLineChars="200" w:firstLine="480"/>
        <w:rPr>
          <w:rFonts w:ascii="Times New Roman" w:eastAsia="宋体" w:hAnsi="Times New Roman" w:cs="Times New Roman"/>
          <w:sz w:val="24"/>
        </w:rPr>
      </w:pPr>
      <w:r>
        <w:rPr>
          <w:noProof/>
          <w:sz w:val="24"/>
        </w:rPr>
        <mc:AlternateContent>
          <mc:Choice Requires="wps">
            <w:drawing>
              <wp:anchor distT="0" distB="0" distL="114300" distR="114300" simplePos="0" relativeHeight="251666432" behindDoc="0" locked="0" layoutInCell="1" allowOverlap="1" wp14:anchorId="4FE64D71" wp14:editId="5135B7EC">
                <wp:simplePos x="0" y="0"/>
                <wp:positionH relativeFrom="column">
                  <wp:posOffset>3250565</wp:posOffset>
                </wp:positionH>
                <wp:positionV relativeFrom="paragraph">
                  <wp:posOffset>232410</wp:posOffset>
                </wp:positionV>
                <wp:extent cx="2178050" cy="26670"/>
                <wp:effectExtent l="0" t="6350" r="6350" b="17780"/>
                <wp:wrapNone/>
                <wp:docPr id="12" name="直接连接符 12"/>
                <wp:cNvGraphicFramePr/>
                <a:graphic xmlns:a="http://schemas.openxmlformats.org/drawingml/2006/main">
                  <a:graphicData uri="http://schemas.microsoft.com/office/word/2010/wordprocessingShape">
                    <wps:wsp>
                      <wps:cNvCnPr/>
                      <wps:spPr>
                        <a:xfrm flipV="1">
                          <a:off x="4393565" y="3816350"/>
                          <a:ext cx="2178050" cy="2667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55.95pt;margin-top:18.3pt;height:2.1pt;width:171.5pt;z-index:251666432;mso-width-relative:page;mso-height-relative:page;" filled="f" stroked="t" coordsize="21600,21600" o:gfxdata="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7fpOa1gAAAAkBAAAPAAAAAAAAAAEAIAAAACIAAABkcnMvZG93&#10;bnJldi54bWxQSwECFAAUAAAACACHTuJApjxX5wICAADOAwAADgAAAAAAAAABACAAAAAlAQAAZHJz&#10;L2Uyb0RvYy54bWxQSwUGAAAAAAYABgBZAQAAmQUAAAAA&#10;">
                <v:fill on="f" focussize="0,0"/>
                <v:stroke weight="1pt" color="#4874CB [3204]" miterlimit="8" joinstyle="miter"/>
                <v:imagedata o:title=""/>
                <o:lock v:ext="edit" aspectratio="f"/>
              </v:line>
            </w:pict>
          </mc:Fallback>
        </mc:AlternateContent>
      </w:r>
      <w:r>
        <w:rPr>
          <w:noProof/>
          <w:sz w:val="24"/>
        </w:rPr>
        <mc:AlternateContent>
          <mc:Choice Requires="wps">
            <w:drawing>
              <wp:anchor distT="0" distB="0" distL="114300" distR="114300" simplePos="0" relativeHeight="251663360" behindDoc="0" locked="0" layoutInCell="1" allowOverlap="1" wp14:anchorId="14DDCAB4" wp14:editId="1BB6196F">
                <wp:simplePos x="0" y="0"/>
                <wp:positionH relativeFrom="column">
                  <wp:posOffset>335915</wp:posOffset>
                </wp:positionH>
                <wp:positionV relativeFrom="paragraph">
                  <wp:posOffset>304800</wp:posOffset>
                </wp:positionV>
                <wp:extent cx="2235200" cy="6350"/>
                <wp:effectExtent l="0" t="6350" r="0" b="6350"/>
                <wp:wrapNone/>
                <wp:docPr id="8" name="直接连接符 8"/>
                <wp:cNvGraphicFramePr/>
                <a:graphic xmlns:a="http://schemas.openxmlformats.org/drawingml/2006/main">
                  <a:graphicData uri="http://schemas.microsoft.com/office/word/2010/wordprocessingShape">
                    <wps:wsp>
                      <wps:cNvCnPr/>
                      <wps:spPr>
                        <a:xfrm flipV="1">
                          <a:off x="1548765" y="7099300"/>
                          <a:ext cx="2235200" cy="635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6.45pt;margin-top:24pt;height:0.5pt;width:176pt;z-index:251663360;mso-width-relative:page;mso-height-relative:page;" filled="f" stroked="t" coordsize="21600,21600" o:gfxdata="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fZaH3UAAAACAEAAA8AAAAAAAAAAQAgAAAAIgAAAGRycy9kb3ducmV2&#10;LnhtbFBLAQIUABQAAAAIAIdO4kCaTBqbAAIAAMsDAAAOAAAAAAAAAAEAIAAAACMBAABkcnMvZTJv&#10;RG9jLnhtbFBLBQYAAAAABgAGAFkBAACVBQAAAAA=&#10;">
                <v:fill on="f" focussize="0,0"/>
                <v:stroke weight="1pt" color="#4874CB [3204]" miterlimit="8" joinstyle="miter"/>
                <v:imagedata o:title=""/>
                <o:lock v:ext="edit" aspectratio="f"/>
              </v:line>
            </w:pict>
          </mc:Fallback>
        </mc:AlternateContent>
      </w: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警告</w:t>
      </w:r>
    </w:p>
    <w:p w14:paraId="3942999B" w14:textId="77777777" w:rsidR="00203670" w:rsidRDefault="003E3946">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 xml:space="preserve">            </w:t>
      </w:r>
      <w:r>
        <w:rPr>
          <w:rFonts w:ascii="Times New Roman" w:eastAsia="宋体" w:hAnsi="Times New Roman" w:cs="Times New Roman" w:hint="eastAsia"/>
          <w:sz w:val="24"/>
        </w:rPr>
        <w:t>劝说</w:t>
      </w:r>
    </w:p>
    <w:p w14:paraId="4B0B925E" w14:textId="77777777" w:rsidR="00203670" w:rsidRDefault="00203670">
      <w:pPr>
        <w:spacing w:line="360" w:lineRule="auto"/>
        <w:ind w:firstLineChars="200" w:firstLine="480"/>
        <w:rPr>
          <w:rFonts w:ascii="Times New Roman" w:eastAsia="宋体" w:hAnsi="Times New Roman" w:cs="Times New Roman"/>
          <w:sz w:val="24"/>
        </w:rPr>
      </w:pPr>
    </w:p>
    <w:p w14:paraId="15FB0FCB" w14:textId="77777777" w:rsidR="00203670" w:rsidRDefault="003E3946">
      <w:pPr>
        <w:spacing w:line="360" w:lineRule="auto"/>
        <w:ind w:firstLineChars="500" w:firstLine="1200"/>
        <w:rPr>
          <w:rFonts w:ascii="楷体" w:eastAsia="楷体" w:hAnsi="楷体" w:cs="楷体" w:hint="eastAsia"/>
          <w:sz w:val="24"/>
        </w:rPr>
      </w:pPr>
      <w:r>
        <w:rPr>
          <w:rFonts w:ascii="楷体" w:eastAsia="楷体" w:hAnsi="楷体" w:cs="楷体" w:hint="eastAsia"/>
          <w:sz w:val="24"/>
        </w:rPr>
        <w:t>图</w:t>
      </w:r>
      <w:r>
        <w:rPr>
          <w:rFonts w:ascii="楷体" w:eastAsia="楷体" w:hAnsi="楷体" w:cs="楷体"/>
          <w:sz w:val="24"/>
        </w:rPr>
        <w:t>2</w:t>
      </w:r>
      <w:r>
        <w:rPr>
          <w:rFonts w:ascii="楷体" w:eastAsia="楷体" w:hAnsi="楷体" w:cs="楷体" w:hint="eastAsia"/>
          <w:sz w:val="24"/>
        </w:rPr>
        <w:t>：规制措施金字塔                图</w:t>
      </w:r>
      <w:r>
        <w:rPr>
          <w:rFonts w:ascii="楷体" w:eastAsia="楷体" w:hAnsi="楷体" w:cs="楷体"/>
          <w:sz w:val="24"/>
        </w:rPr>
        <w:t>3</w:t>
      </w:r>
      <w:r>
        <w:rPr>
          <w:rFonts w:ascii="楷体" w:eastAsia="楷体" w:hAnsi="楷体" w:cs="楷体" w:hint="eastAsia"/>
          <w:sz w:val="24"/>
        </w:rPr>
        <w:t>：规制策略金字塔</w:t>
      </w:r>
    </w:p>
    <w:p w14:paraId="5B99AAF2" w14:textId="7C3DE3F1" w:rsidR="00203670" w:rsidRPr="0067691A" w:rsidRDefault="003E3946">
      <w:pPr>
        <w:spacing w:line="560" w:lineRule="exact"/>
        <w:ind w:firstLineChars="200" w:firstLine="640"/>
        <w:rPr>
          <w:rFonts w:ascii="仿宋" w:eastAsia="仿宋" w:hAnsi="仿宋" w:cs="宋体" w:hint="eastAsia"/>
          <w:sz w:val="32"/>
          <w:szCs w:val="32"/>
        </w:rPr>
      </w:pPr>
      <w:r>
        <w:rPr>
          <w:rFonts w:ascii="仿宋" w:eastAsia="仿宋" w:hAnsi="仿宋" w:hint="eastAsia"/>
          <w:sz w:val="32"/>
          <w:szCs w:val="32"/>
        </w:rPr>
        <w:t>所谓的针对性，实际也可总结为“先教后</w:t>
      </w:r>
      <w:proofErr w:type="gramStart"/>
      <w:r>
        <w:rPr>
          <w:rFonts w:ascii="仿宋" w:eastAsia="仿宋" w:hAnsi="仿宋" w:hint="eastAsia"/>
          <w:sz w:val="32"/>
          <w:szCs w:val="32"/>
        </w:rPr>
        <w:t>诛</w:t>
      </w:r>
      <w:proofErr w:type="gramEnd"/>
      <w:r>
        <w:rPr>
          <w:rFonts w:ascii="仿宋" w:eastAsia="仿宋" w:hAnsi="仿宋" w:hint="eastAsia"/>
          <w:sz w:val="32"/>
          <w:szCs w:val="32"/>
        </w:rPr>
        <w:t>”的规制策略、</w:t>
      </w:r>
      <w:proofErr w:type="gramStart"/>
      <w:r>
        <w:rPr>
          <w:rFonts w:ascii="仿宋" w:eastAsia="仿宋" w:hAnsi="仿宋" w:hint="eastAsia"/>
          <w:sz w:val="32"/>
          <w:szCs w:val="32"/>
        </w:rPr>
        <w:t>过责相当</w:t>
      </w:r>
      <w:proofErr w:type="gramEnd"/>
      <w:r>
        <w:rPr>
          <w:rFonts w:ascii="仿宋" w:eastAsia="仿宋" w:hAnsi="仿宋" w:hint="eastAsia"/>
          <w:sz w:val="32"/>
          <w:szCs w:val="32"/>
        </w:rPr>
        <w:t>的措施体系。总体上，除对唯利是图、主观恶意大的事务所径直采取严厉的监管处罚外，对其他有守法意愿和意识的事务所，应优先适用约谈这一柔性执法手段，必要时可指导、帮助、监督其制定和执行</w:t>
      </w:r>
      <w:proofErr w:type="gramStart"/>
      <w:r>
        <w:rPr>
          <w:rFonts w:ascii="仿宋" w:eastAsia="仿宋" w:hAnsi="仿宋" w:hint="eastAsia"/>
          <w:sz w:val="32"/>
          <w:szCs w:val="32"/>
        </w:rPr>
        <w:t>内控风控方面</w:t>
      </w:r>
      <w:proofErr w:type="gramEnd"/>
      <w:r>
        <w:rPr>
          <w:rFonts w:ascii="仿宋" w:eastAsia="仿宋" w:hAnsi="仿宋" w:hint="eastAsia"/>
          <w:sz w:val="32"/>
          <w:szCs w:val="32"/>
        </w:rPr>
        <w:t>的合</w:t>
      </w:r>
      <w:proofErr w:type="gramStart"/>
      <w:r>
        <w:rPr>
          <w:rFonts w:ascii="仿宋" w:eastAsia="仿宋" w:hAnsi="仿宋" w:hint="eastAsia"/>
          <w:sz w:val="32"/>
          <w:szCs w:val="32"/>
        </w:rPr>
        <w:t>规</w:t>
      </w:r>
      <w:proofErr w:type="gramEnd"/>
      <w:r>
        <w:rPr>
          <w:rFonts w:ascii="仿宋" w:eastAsia="仿宋" w:hAnsi="仿宋" w:hint="eastAsia"/>
          <w:sz w:val="32"/>
          <w:szCs w:val="32"/>
        </w:rPr>
        <w:t>计划，在整改无效或其拒不改正时，再根据情节严重程度，相应适用警示函、罚款、停业乃至吊销执照等措施或处罚。</w:t>
      </w:r>
      <w:r>
        <w:rPr>
          <w:rFonts w:ascii="仿宋" w:eastAsia="仿宋" w:hAnsi="仿宋" w:cs="宋体" w:hint="eastAsia"/>
          <w:sz w:val="32"/>
          <w:szCs w:val="32"/>
        </w:rPr>
        <w:lastRenderedPageBreak/>
        <w:t>美国公众公司会计监督委员会（PCAOB）的做法也遵循这样的逻辑。PCAOB通常通过谴责、罚款、撤销注册、禁止从业、限制审计活动、采取补救措施、继续教育和培训来惩戒违规事务所，其中，对于对抗PCAOB检查的行为处罚最重，一经查实即对事务所撤销注册，对注册会计师禁止从业；对违反报告义务、披露不完整的行为，则多采取谴责、小额罚款及补救措施，确保违规行为得到纠正；对违反审计准则、质量</w:t>
      </w:r>
      <w:r w:rsidR="0067691A">
        <w:rPr>
          <w:rFonts w:ascii="仿宋" w:eastAsia="仿宋" w:hAnsi="仿宋" w:cs="宋体" w:hint="eastAsia"/>
          <w:sz w:val="32"/>
          <w:szCs w:val="32"/>
        </w:rPr>
        <w:t>管理</w:t>
      </w:r>
      <w:r>
        <w:rPr>
          <w:rFonts w:ascii="仿宋" w:eastAsia="仿宋" w:hAnsi="仿宋" w:cs="宋体" w:hint="eastAsia"/>
          <w:sz w:val="32"/>
          <w:szCs w:val="32"/>
        </w:rPr>
        <w:t>标准的情形，则根据严重程度实施阶梯化处罚，从整改令、继续教育到短期执业限制不等。</w:t>
      </w:r>
      <w:r>
        <w:rPr>
          <w:rFonts w:ascii="仿宋" w:eastAsia="仿宋" w:hAnsi="仿宋" w:cs="宋体" w:hint="eastAsia"/>
          <w:sz w:val="32"/>
          <w:szCs w:val="32"/>
          <w:vertAlign w:val="superscript"/>
        </w:rPr>
        <w:footnoteReference w:id="25"/>
      </w:r>
    </w:p>
    <w:p w14:paraId="313FFBB4"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hint="eastAsia"/>
          <w:sz w:val="32"/>
          <w:szCs w:val="32"/>
        </w:rPr>
        <w:t>在监管处罚的具体适用中，要努力</w:t>
      </w:r>
      <w:proofErr w:type="gramStart"/>
      <w:r>
        <w:rPr>
          <w:rFonts w:ascii="仿宋" w:eastAsia="仿宋" w:hAnsi="仿宋" w:hint="eastAsia"/>
          <w:sz w:val="32"/>
          <w:szCs w:val="32"/>
        </w:rPr>
        <w:t>做到过责相当</w:t>
      </w:r>
      <w:proofErr w:type="gramEnd"/>
      <w:r>
        <w:rPr>
          <w:rFonts w:ascii="仿宋" w:eastAsia="仿宋" w:hAnsi="仿宋" w:hint="eastAsia"/>
          <w:sz w:val="32"/>
          <w:szCs w:val="32"/>
        </w:rPr>
        <w:t>，威慑不足会放纵违法行为，而威慑过度则会强化监管与市场的对立，不利于发展健康的市场生态体系。如</w:t>
      </w:r>
      <w:r>
        <w:rPr>
          <w:rFonts w:ascii="仿宋" w:eastAsia="仿宋" w:hAnsi="仿宋" w:cs="宋体" w:hint="eastAsia"/>
          <w:sz w:val="32"/>
          <w:szCs w:val="32"/>
          <w:lang w:eastAsia="zh"/>
        </w:rPr>
        <w:t>资格罚是</w:t>
      </w:r>
      <w:r>
        <w:rPr>
          <w:rFonts w:ascii="仿宋" w:eastAsia="仿宋" w:hAnsi="仿宋" w:cs="宋体" w:hint="eastAsia"/>
          <w:sz w:val="32"/>
          <w:szCs w:val="32"/>
        </w:rPr>
        <w:t>极其</w:t>
      </w:r>
      <w:r>
        <w:rPr>
          <w:rFonts w:ascii="仿宋" w:eastAsia="仿宋" w:hAnsi="仿宋" w:cs="宋体" w:hint="eastAsia"/>
          <w:sz w:val="32"/>
          <w:szCs w:val="32"/>
          <w:lang w:eastAsia="zh"/>
        </w:rPr>
        <w:t>严厉</w:t>
      </w:r>
      <w:r>
        <w:rPr>
          <w:rFonts w:ascii="仿宋" w:eastAsia="仿宋" w:hAnsi="仿宋" w:cs="宋体" w:hint="eastAsia"/>
          <w:sz w:val="32"/>
          <w:szCs w:val="32"/>
        </w:rPr>
        <w:t>的处罚，能充分</w:t>
      </w:r>
      <w:r>
        <w:rPr>
          <w:rFonts w:ascii="仿宋" w:eastAsia="仿宋" w:hAnsi="仿宋" w:cs="宋体" w:hint="eastAsia"/>
          <w:sz w:val="32"/>
          <w:szCs w:val="32"/>
          <w:lang w:eastAsia="zh"/>
        </w:rPr>
        <w:t>彰</w:t>
      </w:r>
      <w:proofErr w:type="gramStart"/>
      <w:r>
        <w:rPr>
          <w:rFonts w:ascii="仿宋" w:eastAsia="仿宋" w:hAnsi="仿宋" w:cs="宋体" w:hint="eastAsia"/>
          <w:sz w:val="32"/>
          <w:szCs w:val="32"/>
          <w:lang w:eastAsia="zh"/>
        </w:rPr>
        <w:t>显保护</w:t>
      </w:r>
      <w:proofErr w:type="gramEnd"/>
      <w:r>
        <w:rPr>
          <w:rFonts w:ascii="仿宋" w:eastAsia="仿宋" w:hAnsi="仿宋" w:cs="宋体" w:hint="eastAsia"/>
          <w:sz w:val="32"/>
          <w:szCs w:val="32"/>
          <w:lang w:eastAsia="zh"/>
        </w:rPr>
        <w:t>投资者的价值和依法治市的决心</w:t>
      </w:r>
      <w:r>
        <w:rPr>
          <w:rFonts w:ascii="仿宋" w:eastAsia="仿宋" w:hAnsi="仿宋" w:cs="宋体" w:hint="eastAsia"/>
          <w:sz w:val="32"/>
          <w:szCs w:val="32"/>
        </w:rPr>
        <w:t>。</w:t>
      </w:r>
      <w:proofErr w:type="gramStart"/>
      <w:r>
        <w:rPr>
          <w:rFonts w:ascii="仿宋" w:eastAsia="仿宋" w:hAnsi="仿宋" w:cs="宋体" w:hint="eastAsia"/>
          <w:sz w:val="32"/>
          <w:szCs w:val="32"/>
        </w:rPr>
        <w:t>但资格罚</w:t>
      </w:r>
      <w:proofErr w:type="gramEnd"/>
      <w:r>
        <w:rPr>
          <w:rFonts w:ascii="仿宋" w:eastAsia="仿宋" w:hAnsi="仿宋" w:cs="宋体" w:hint="eastAsia"/>
          <w:sz w:val="32"/>
          <w:szCs w:val="32"/>
        </w:rPr>
        <w:t>的外部性很强，</w:t>
      </w:r>
      <w:r>
        <w:rPr>
          <w:rFonts w:ascii="仿宋" w:eastAsia="仿宋" w:hAnsi="仿宋" w:cs="宋体" w:hint="eastAsia"/>
          <w:sz w:val="32"/>
          <w:szCs w:val="32"/>
          <w:lang w:eastAsia="zh"/>
        </w:rPr>
        <w:t>不仅</w:t>
      </w:r>
      <w:r>
        <w:rPr>
          <w:rFonts w:ascii="仿宋" w:eastAsia="仿宋" w:hAnsi="仿宋" w:cs="宋体" w:hint="eastAsia"/>
          <w:sz w:val="32"/>
          <w:szCs w:val="32"/>
        </w:rPr>
        <w:t>直接影响到事务所自身</w:t>
      </w:r>
      <w:r>
        <w:rPr>
          <w:rFonts w:ascii="仿宋" w:eastAsia="仿宋" w:hAnsi="仿宋" w:cs="宋体" w:hint="eastAsia"/>
          <w:sz w:val="32"/>
          <w:szCs w:val="32"/>
          <w:lang w:eastAsia="zh"/>
        </w:rPr>
        <w:t>业务</w:t>
      </w:r>
      <w:r>
        <w:rPr>
          <w:rFonts w:ascii="仿宋" w:eastAsia="仿宋" w:hAnsi="仿宋" w:cs="宋体" w:hint="eastAsia"/>
          <w:sz w:val="32"/>
          <w:szCs w:val="32"/>
        </w:rPr>
        <w:t>的运营</w:t>
      </w:r>
      <w:r>
        <w:rPr>
          <w:rFonts w:ascii="仿宋" w:eastAsia="仿宋" w:hAnsi="仿宋" w:cs="宋体" w:hint="eastAsia"/>
          <w:sz w:val="32"/>
          <w:szCs w:val="32"/>
          <w:lang w:eastAsia="zh"/>
        </w:rPr>
        <w:t>，也</w:t>
      </w:r>
      <w:r>
        <w:rPr>
          <w:rFonts w:ascii="仿宋" w:eastAsia="仿宋" w:hAnsi="仿宋" w:cs="宋体" w:hint="eastAsia"/>
          <w:sz w:val="32"/>
          <w:szCs w:val="32"/>
        </w:rPr>
        <w:t>影响</w:t>
      </w:r>
      <w:r>
        <w:rPr>
          <w:rFonts w:ascii="仿宋" w:eastAsia="仿宋" w:hAnsi="仿宋" w:cs="宋体" w:hint="eastAsia"/>
          <w:sz w:val="32"/>
          <w:szCs w:val="32"/>
          <w:lang w:eastAsia="zh"/>
        </w:rPr>
        <w:t>到其他利益相关方</w:t>
      </w:r>
      <w:r>
        <w:rPr>
          <w:rFonts w:ascii="仿宋" w:eastAsia="仿宋" w:hAnsi="仿宋" w:cs="宋体" w:hint="eastAsia"/>
          <w:sz w:val="32"/>
          <w:szCs w:val="32"/>
        </w:rPr>
        <w:t>：一些无辜的</w:t>
      </w:r>
      <w:r>
        <w:rPr>
          <w:rFonts w:ascii="仿宋" w:eastAsia="仿宋" w:hAnsi="仿宋" w:cs="宋体" w:hint="eastAsia"/>
          <w:sz w:val="32"/>
          <w:szCs w:val="32"/>
          <w:lang w:eastAsia="zh"/>
        </w:rPr>
        <w:t>合伙人、员工</w:t>
      </w:r>
      <w:r>
        <w:rPr>
          <w:rFonts w:ascii="仿宋" w:eastAsia="仿宋" w:hAnsi="仿宋" w:cs="宋体" w:hint="eastAsia"/>
          <w:sz w:val="32"/>
          <w:szCs w:val="32"/>
        </w:rPr>
        <w:t>选择</w:t>
      </w:r>
      <w:r>
        <w:rPr>
          <w:rFonts w:ascii="仿宋" w:eastAsia="仿宋" w:hAnsi="仿宋" w:cs="宋体" w:hint="eastAsia"/>
          <w:sz w:val="32"/>
          <w:szCs w:val="32"/>
          <w:lang w:eastAsia="zh"/>
        </w:rPr>
        <w:t>转所、离职，</w:t>
      </w:r>
      <w:r>
        <w:rPr>
          <w:rFonts w:ascii="仿宋" w:eastAsia="仿宋" w:hAnsi="仿宋" w:cs="宋体" w:hint="eastAsia"/>
          <w:sz w:val="32"/>
          <w:szCs w:val="32"/>
        </w:rPr>
        <w:t>尽管</w:t>
      </w:r>
      <w:proofErr w:type="gramStart"/>
      <w:r>
        <w:rPr>
          <w:rFonts w:ascii="仿宋" w:eastAsia="仿宋" w:hAnsi="仿宋" w:cs="宋体" w:hint="eastAsia"/>
          <w:sz w:val="32"/>
          <w:szCs w:val="32"/>
        </w:rPr>
        <w:t>资格罚因与其</w:t>
      </w:r>
      <w:proofErr w:type="gramEnd"/>
      <w:r>
        <w:rPr>
          <w:rFonts w:ascii="仿宋" w:eastAsia="仿宋" w:hAnsi="仿宋" w:cs="宋体" w:hint="eastAsia"/>
          <w:sz w:val="32"/>
          <w:szCs w:val="32"/>
        </w:rPr>
        <w:t>无关的项目团队的</w:t>
      </w:r>
      <w:r>
        <w:rPr>
          <w:rFonts w:ascii="仿宋" w:eastAsia="仿宋" w:hAnsi="仿宋" w:cs="宋体" w:hint="eastAsia"/>
          <w:sz w:val="32"/>
          <w:szCs w:val="32"/>
          <w:lang w:eastAsia="zh"/>
        </w:rPr>
        <w:t>审计失败而引起</w:t>
      </w:r>
      <w:r>
        <w:rPr>
          <w:rFonts w:ascii="仿宋" w:eastAsia="仿宋" w:hAnsi="仿宋" w:cs="宋体" w:hint="eastAsia"/>
          <w:sz w:val="32"/>
          <w:szCs w:val="32"/>
        </w:rPr>
        <w:t>；原本计划上市的公司因事务所的资格罚而暂缓上市，因为它们需要找到新的审计机构来接手项目，而时间上的延误可能意味着错失重要的市场窗口和投资机会。因此，</w:t>
      </w:r>
      <w:r>
        <w:rPr>
          <w:rFonts w:ascii="仿宋" w:eastAsia="仿宋" w:hAnsi="仿宋" w:cs="宋体" w:hint="eastAsia"/>
          <w:sz w:val="32"/>
          <w:szCs w:val="32"/>
          <w:lang w:eastAsia="zh"/>
        </w:rPr>
        <w:t>普遍性、高频次的资格</w:t>
      </w:r>
      <w:proofErr w:type="gramStart"/>
      <w:r>
        <w:rPr>
          <w:rFonts w:ascii="仿宋" w:eastAsia="仿宋" w:hAnsi="仿宋" w:cs="宋体" w:hint="eastAsia"/>
          <w:sz w:val="32"/>
          <w:szCs w:val="32"/>
          <w:lang w:eastAsia="zh"/>
        </w:rPr>
        <w:t>罚</w:t>
      </w:r>
      <w:r>
        <w:rPr>
          <w:rFonts w:ascii="仿宋" w:eastAsia="仿宋" w:hAnsi="仿宋" w:cs="宋体" w:hint="eastAsia"/>
          <w:sz w:val="32"/>
          <w:szCs w:val="32"/>
        </w:rPr>
        <w:t>容易</w:t>
      </w:r>
      <w:proofErr w:type="gramEnd"/>
      <w:r>
        <w:rPr>
          <w:rFonts w:ascii="仿宋" w:eastAsia="仿宋" w:hAnsi="仿宋" w:cs="宋体" w:hint="eastAsia"/>
          <w:sz w:val="32"/>
          <w:szCs w:val="32"/>
          <w:lang w:eastAsia="zh"/>
        </w:rPr>
        <w:t>滑向过度震慑，进而影响市场信心及其运行，</w:t>
      </w:r>
      <w:r>
        <w:rPr>
          <w:rFonts w:ascii="仿宋" w:eastAsia="仿宋" w:hAnsi="仿宋" w:cs="宋体" w:hint="eastAsia"/>
          <w:sz w:val="32"/>
          <w:szCs w:val="32"/>
        </w:rPr>
        <w:t>只有在事务所主观故意、违法行为极其恶劣的情形下，资格罚才有适用的必要</w:t>
      </w:r>
      <w:r>
        <w:rPr>
          <w:rFonts w:ascii="仿宋" w:eastAsia="仿宋" w:hAnsi="仿宋" w:cs="宋体" w:hint="eastAsia"/>
          <w:sz w:val="32"/>
          <w:szCs w:val="32"/>
          <w:lang w:eastAsia="zh"/>
        </w:rPr>
        <w:t>。</w:t>
      </w:r>
    </w:p>
    <w:p w14:paraId="7EA7F08B" w14:textId="77777777" w:rsidR="00203670" w:rsidRDefault="003E3946">
      <w:pPr>
        <w:spacing w:line="560" w:lineRule="exact"/>
        <w:ind w:firstLineChars="200" w:firstLine="640"/>
        <w:outlineLvl w:val="0"/>
        <w:rPr>
          <w:rFonts w:ascii="黑体" w:eastAsia="黑体" w:hAnsi="黑体" w:cs="黑体" w:hint="eastAsia"/>
          <w:bCs/>
          <w:sz w:val="32"/>
          <w:szCs w:val="32"/>
        </w:rPr>
      </w:pPr>
      <w:bookmarkStart w:id="35" w:name="_Toc1192"/>
      <w:r>
        <w:rPr>
          <w:rFonts w:ascii="黑体" w:eastAsia="黑体" w:hAnsi="黑体" w:cs="黑体" w:hint="eastAsia"/>
          <w:bCs/>
          <w:sz w:val="32"/>
          <w:szCs w:val="32"/>
        </w:rPr>
        <w:t>四、若干制度建议</w:t>
      </w:r>
      <w:bookmarkEnd w:id="35"/>
    </w:p>
    <w:p w14:paraId="0BC401A1" w14:textId="28BFA465" w:rsidR="00203670" w:rsidRDefault="003E3946">
      <w:pPr>
        <w:spacing w:line="560" w:lineRule="exact"/>
        <w:ind w:firstLineChars="200" w:firstLine="640"/>
        <w:rPr>
          <w:rFonts w:ascii="仿宋" w:eastAsia="仿宋" w:hAnsi="仿宋" w:cs="楷体" w:hint="eastAsia"/>
          <w:b/>
          <w:bCs/>
          <w:sz w:val="32"/>
          <w:szCs w:val="32"/>
        </w:rPr>
      </w:pPr>
      <w:r>
        <w:rPr>
          <w:rFonts w:ascii="仿宋" w:eastAsia="仿宋" w:hAnsi="仿宋" w:cs="宋体" w:hint="eastAsia"/>
          <w:sz w:val="32"/>
          <w:szCs w:val="32"/>
          <w:lang w:eastAsia="zh"/>
        </w:rPr>
        <w:t>回应性监管理论旨在努力提升市场主体内在道德、守法</w:t>
      </w:r>
      <w:r>
        <w:rPr>
          <w:rFonts w:ascii="仿宋" w:eastAsia="仿宋" w:hAnsi="仿宋" w:cs="宋体" w:hint="eastAsia"/>
          <w:sz w:val="32"/>
          <w:szCs w:val="32"/>
          <w:lang w:eastAsia="zh"/>
        </w:rPr>
        <w:lastRenderedPageBreak/>
        <w:t>意愿和能力，充分尊重市场主体地位，体现监管和市场的良性沟通、有序博弈，</w:t>
      </w:r>
      <w:r>
        <w:rPr>
          <w:rFonts w:ascii="仿宋" w:eastAsia="仿宋" w:hAnsi="仿宋" w:cs="宋体" w:hint="eastAsia"/>
          <w:sz w:val="32"/>
          <w:szCs w:val="32"/>
        </w:rPr>
        <w:t>积极追求监管执法的预防性、针对性效果。在对事务所的监管执法中，建议秉持这一理念进行制度变革，在大力探索完善事务所行政执法承诺制度、</w:t>
      </w:r>
      <w:r w:rsidR="0067691A">
        <w:rPr>
          <w:rFonts w:ascii="仿宋" w:eastAsia="仿宋" w:hAnsi="仿宋" w:cs="宋体" w:hint="eastAsia"/>
          <w:sz w:val="32"/>
          <w:szCs w:val="32"/>
        </w:rPr>
        <w:t>质量管理</w:t>
      </w:r>
      <w:r>
        <w:rPr>
          <w:rFonts w:ascii="仿宋" w:eastAsia="仿宋" w:hAnsi="仿宋" w:cs="宋体" w:hint="eastAsia"/>
          <w:sz w:val="32"/>
          <w:szCs w:val="32"/>
        </w:rPr>
        <w:t>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建设的同时，对传统监管处罚应予以适当的改进，包括提高“较大数额”的行业标准、完善资格罚的适用机制等。</w:t>
      </w:r>
    </w:p>
    <w:p w14:paraId="797F3E26" w14:textId="77777777" w:rsidR="00203670" w:rsidRDefault="003E3946">
      <w:pPr>
        <w:spacing w:line="560" w:lineRule="exact"/>
        <w:ind w:firstLineChars="200" w:firstLine="640"/>
        <w:outlineLvl w:val="1"/>
        <w:rPr>
          <w:rFonts w:ascii="楷体" w:eastAsia="楷体" w:hAnsi="楷体" w:cs="楷体" w:hint="eastAsia"/>
          <w:bCs/>
          <w:sz w:val="32"/>
          <w:szCs w:val="32"/>
        </w:rPr>
      </w:pPr>
      <w:bookmarkStart w:id="36" w:name="_Toc14622"/>
      <w:r>
        <w:rPr>
          <w:rFonts w:ascii="楷体" w:eastAsia="楷体" w:hAnsi="楷体" w:cs="楷体" w:hint="eastAsia"/>
          <w:bCs/>
          <w:sz w:val="32"/>
          <w:szCs w:val="32"/>
        </w:rPr>
        <w:t>（一）扩大行政执法承诺制度的适用</w:t>
      </w:r>
      <w:bookmarkEnd w:id="36"/>
    </w:p>
    <w:p w14:paraId="21802EA5" w14:textId="77777777" w:rsidR="00203670" w:rsidRDefault="003E3946">
      <w:pPr>
        <w:spacing w:line="560" w:lineRule="exact"/>
        <w:ind w:firstLineChars="200" w:firstLine="640"/>
        <w:outlineLvl w:val="2"/>
        <w:rPr>
          <w:rFonts w:ascii="仿宋" w:eastAsia="仿宋" w:hAnsi="仿宋" w:cs="楷体" w:hint="eastAsia"/>
          <w:sz w:val="32"/>
          <w:szCs w:val="32"/>
        </w:rPr>
      </w:pPr>
      <w:bookmarkStart w:id="37" w:name="_Toc1479"/>
      <w:r>
        <w:rPr>
          <w:rFonts w:ascii="仿宋" w:eastAsia="仿宋" w:hAnsi="仿宋" w:cs="楷体" w:hint="eastAsia"/>
          <w:sz w:val="32"/>
          <w:szCs w:val="32"/>
        </w:rPr>
        <w:t>1.推动监管理念的合作化转型</w:t>
      </w:r>
      <w:bookmarkEnd w:id="37"/>
    </w:p>
    <w:p w14:paraId="4D8A26B7"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要提高制度适用率，不仅要引导市场主体积极主动，更重要的是推动监管机构树立合作执法的理念，突破传统意义上的二元对立的监管模式。这也更加符合行政执法当事人承诺制度所体现的合意性。针对目前适用存在的问题，可以从以下两个方向建立合作关系。</w:t>
      </w:r>
    </w:p>
    <w:p w14:paraId="47FC0BDA"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一是提升监管机构的主动性，即在告知事务所有权申请适用承诺制度外，还可以就案件情况是否适用以及可能的后果进行一定的指导和阐明。并在实践中逐步形成分级分类适用标准，明确哪些类型的案件可以在执法承诺申请中被优先考虑。同时，考虑到实践案例较少，市场对制度的熟悉程度也不足，各地证监局可以设立执法承诺制度咨询窗口，让事务所等中介机构通过咨询对案件的制度适用可能性及相关后果产生初步判断。</w:t>
      </w:r>
    </w:p>
    <w:p w14:paraId="2B5F8E14"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二是充分就承诺协议进行协商，提升事务所意愿。在行政执法当事人承诺制度中，承诺协议的签订是制度核心。而在程序保障和充分的信息披露前提下，监管机关与行政相对</w:t>
      </w:r>
      <w:r>
        <w:rPr>
          <w:rFonts w:ascii="仿宋" w:eastAsia="仿宋" w:hAnsi="仿宋" w:cs="宋体" w:hint="eastAsia"/>
          <w:sz w:val="32"/>
          <w:szCs w:val="32"/>
        </w:rPr>
        <w:lastRenderedPageBreak/>
        <w:t>人之间形成合作关系并不必然具备苛责性，</w:t>
      </w:r>
      <w:r>
        <w:rPr>
          <w:rFonts w:ascii="仿宋" w:eastAsia="仿宋" w:hAnsi="仿宋" w:cs="宋体" w:hint="eastAsia"/>
          <w:sz w:val="32"/>
          <w:szCs w:val="32"/>
          <w:vertAlign w:val="superscript"/>
        </w:rPr>
        <w:footnoteReference w:id="26"/>
      </w:r>
      <w:r>
        <w:rPr>
          <w:rFonts w:ascii="仿宋" w:eastAsia="仿宋" w:hAnsi="仿宋" w:cs="宋体" w:hint="eastAsia"/>
          <w:sz w:val="32"/>
          <w:szCs w:val="32"/>
        </w:rPr>
        <w:t>因此，《证券期货行政执法当事人承诺制度实施规定》第13条规定：“办公室经与当事人沟通协商，认可当事人</w:t>
      </w:r>
      <w:proofErr w:type="gramStart"/>
      <w:r>
        <w:rPr>
          <w:rFonts w:ascii="仿宋" w:eastAsia="仿宋" w:hAnsi="仿宋" w:cs="宋体" w:hint="eastAsia"/>
          <w:sz w:val="32"/>
          <w:szCs w:val="32"/>
        </w:rPr>
        <w:t>作出</w:t>
      </w:r>
      <w:proofErr w:type="gramEnd"/>
      <w:r>
        <w:rPr>
          <w:rFonts w:ascii="仿宋" w:eastAsia="仿宋" w:hAnsi="仿宋" w:cs="宋体" w:hint="eastAsia"/>
          <w:sz w:val="32"/>
          <w:szCs w:val="32"/>
        </w:rPr>
        <w:t>的承诺的，应当按照规定与当事人签署承诺认可协议。</w:t>
      </w:r>
      <w:r>
        <w:rPr>
          <w:rFonts w:ascii="仿宋" w:eastAsia="仿宋" w:hAnsi="仿宋" w:cs="宋体"/>
          <w:sz w:val="32"/>
          <w:szCs w:val="32"/>
        </w:rPr>
        <w:t>”</w:t>
      </w:r>
      <w:r>
        <w:rPr>
          <w:rFonts w:ascii="仿宋" w:eastAsia="仿宋" w:hAnsi="仿宋" w:cs="宋体" w:hint="eastAsia"/>
          <w:sz w:val="32"/>
          <w:szCs w:val="32"/>
        </w:rPr>
        <w:t>其中的“认可”就不应理解为监管机构单方面的许可，而应是双方对合意的认可。只有双方就案件情况充分沟通，合理确定权利义务，最终达成信任关系，并就承诺认可协议的沟通情况、协议中涉及投资者权益保护的内容、涉嫌违法整改措施、履行期限以及后续履行和监督情况予以持续公告。</w:t>
      </w:r>
      <w:r>
        <w:rPr>
          <w:rFonts w:ascii="仿宋" w:eastAsia="仿宋" w:hAnsi="仿宋" w:cs="宋体" w:hint="eastAsia"/>
          <w:sz w:val="32"/>
          <w:szCs w:val="32"/>
          <w:vertAlign w:val="superscript"/>
        </w:rPr>
        <w:footnoteReference w:id="27"/>
      </w:r>
      <w:r>
        <w:rPr>
          <w:rFonts w:ascii="仿宋" w:eastAsia="仿宋" w:hAnsi="仿宋" w:cs="宋体" w:hint="eastAsia"/>
          <w:sz w:val="32"/>
          <w:szCs w:val="32"/>
        </w:rPr>
        <w:t>如此才能让事务所从过往的逃避和对抗情绪中脱离，切实提升自身意愿。</w:t>
      </w:r>
    </w:p>
    <w:p w14:paraId="0BDA4D9D" w14:textId="77777777" w:rsidR="00203670" w:rsidRDefault="003E3946">
      <w:pPr>
        <w:spacing w:line="560" w:lineRule="exact"/>
        <w:ind w:firstLineChars="200" w:firstLine="640"/>
        <w:outlineLvl w:val="2"/>
        <w:rPr>
          <w:rFonts w:ascii="仿宋" w:eastAsia="仿宋" w:hAnsi="仿宋" w:cs="楷体" w:hint="eastAsia"/>
          <w:sz w:val="32"/>
          <w:szCs w:val="32"/>
        </w:rPr>
      </w:pPr>
      <w:bookmarkStart w:id="38" w:name="_Toc11867"/>
      <w:r>
        <w:rPr>
          <w:rFonts w:ascii="仿宋" w:eastAsia="仿宋" w:hAnsi="仿宋" w:cs="楷体" w:hint="eastAsia"/>
          <w:sz w:val="32"/>
          <w:szCs w:val="32"/>
        </w:rPr>
        <w:t>2.合理确定</w:t>
      </w:r>
      <w:proofErr w:type="gramStart"/>
      <w:r>
        <w:rPr>
          <w:rFonts w:ascii="仿宋" w:eastAsia="仿宋" w:hAnsi="仿宋" w:cs="楷体" w:hint="eastAsia"/>
          <w:sz w:val="32"/>
          <w:szCs w:val="32"/>
        </w:rPr>
        <w:t>承诺金</w:t>
      </w:r>
      <w:proofErr w:type="gramEnd"/>
      <w:r>
        <w:rPr>
          <w:rFonts w:ascii="仿宋" w:eastAsia="仿宋" w:hAnsi="仿宋" w:cs="楷体" w:hint="eastAsia"/>
          <w:sz w:val="32"/>
          <w:szCs w:val="32"/>
        </w:rPr>
        <w:t>标准</w:t>
      </w:r>
      <w:bookmarkEnd w:id="38"/>
    </w:p>
    <w:p w14:paraId="50E04A4A"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经济成本是事务所进行各种决策的重要</w:t>
      </w:r>
      <w:proofErr w:type="gramStart"/>
      <w:r>
        <w:rPr>
          <w:rFonts w:ascii="仿宋" w:eastAsia="仿宋" w:hAnsi="仿宋" w:cs="宋体" w:hint="eastAsia"/>
          <w:sz w:val="32"/>
          <w:szCs w:val="32"/>
        </w:rPr>
        <w:t>考量</w:t>
      </w:r>
      <w:proofErr w:type="gramEnd"/>
      <w:r>
        <w:rPr>
          <w:rFonts w:ascii="仿宋" w:eastAsia="仿宋" w:hAnsi="仿宋" w:cs="宋体" w:hint="eastAsia"/>
          <w:sz w:val="32"/>
          <w:szCs w:val="32"/>
        </w:rPr>
        <w:t>，在面临可能的处罚时更是如此。虽然事务所出于声誉的</w:t>
      </w:r>
      <w:proofErr w:type="gramStart"/>
      <w:r>
        <w:rPr>
          <w:rFonts w:ascii="仿宋" w:eastAsia="仿宋" w:hAnsi="仿宋" w:cs="宋体" w:hint="eastAsia"/>
          <w:sz w:val="32"/>
          <w:szCs w:val="32"/>
        </w:rPr>
        <w:t>考量</w:t>
      </w:r>
      <w:proofErr w:type="gramEnd"/>
      <w:r>
        <w:rPr>
          <w:rFonts w:ascii="仿宋" w:eastAsia="仿宋" w:hAnsi="仿宋" w:cs="宋体" w:hint="eastAsia"/>
          <w:sz w:val="32"/>
          <w:szCs w:val="32"/>
        </w:rPr>
        <w:t>会愿意承担额外的一部分数额，但过重的负担会对整个行业的积极性造成严重影响，从而让制度难以落实。因此，要提升适用率，首先应合</w:t>
      </w:r>
      <w:proofErr w:type="gramStart"/>
      <w:r>
        <w:rPr>
          <w:rFonts w:ascii="仿宋" w:eastAsia="仿宋" w:hAnsi="仿宋" w:cs="宋体" w:hint="eastAsia"/>
          <w:sz w:val="32"/>
          <w:szCs w:val="32"/>
        </w:rPr>
        <w:t>理确定</w:t>
      </w:r>
      <w:proofErr w:type="gramEnd"/>
      <w:r>
        <w:rPr>
          <w:rFonts w:ascii="仿宋" w:eastAsia="仿宋" w:hAnsi="仿宋" w:cs="宋体" w:hint="eastAsia"/>
          <w:sz w:val="32"/>
          <w:szCs w:val="32"/>
        </w:rPr>
        <w:t>不同的</w:t>
      </w:r>
      <w:proofErr w:type="gramStart"/>
      <w:r>
        <w:rPr>
          <w:rFonts w:ascii="仿宋" w:eastAsia="仿宋" w:hAnsi="仿宋" w:cs="宋体" w:hint="eastAsia"/>
          <w:sz w:val="32"/>
          <w:szCs w:val="32"/>
        </w:rPr>
        <w:t>承诺金</w:t>
      </w:r>
      <w:proofErr w:type="gramEnd"/>
      <w:r>
        <w:rPr>
          <w:rFonts w:ascii="仿宋" w:eastAsia="仿宋" w:hAnsi="仿宋" w:cs="宋体" w:hint="eastAsia"/>
          <w:sz w:val="32"/>
          <w:szCs w:val="32"/>
        </w:rPr>
        <w:t>数额区间。虽然《证券法》规定的罚款范围为业务收入一倍以上十倍以下。但若不做区分而适用高倍处罚，不仅严重影响事务所的意愿，也无法体现行政法的比例原则。因此，可以初步将</w:t>
      </w:r>
      <w:proofErr w:type="gramStart"/>
      <w:r>
        <w:rPr>
          <w:rFonts w:ascii="仿宋" w:eastAsia="仿宋" w:hAnsi="仿宋" w:cs="宋体" w:hint="eastAsia"/>
          <w:sz w:val="32"/>
          <w:szCs w:val="32"/>
        </w:rPr>
        <w:t>承诺金分为</w:t>
      </w:r>
      <w:proofErr w:type="gramEnd"/>
      <w:r>
        <w:rPr>
          <w:rFonts w:ascii="仿宋" w:eastAsia="仿宋" w:hAnsi="仿宋" w:cs="宋体" w:hint="eastAsia"/>
          <w:sz w:val="32"/>
          <w:szCs w:val="32"/>
        </w:rPr>
        <w:t>1-3倍、4-7倍和8-10倍三个区间。对应当事人或案件事实为轻微、中等和较重三个程度，以此避免“一刀切”式的数额认定。</w:t>
      </w:r>
    </w:p>
    <w:p w14:paraId="478ED2F2"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其次，应当在考虑综合数额时加入事务所履职情况、事</w:t>
      </w:r>
      <w:r>
        <w:rPr>
          <w:rFonts w:ascii="仿宋" w:eastAsia="仿宋" w:hAnsi="仿宋" w:cs="宋体" w:hint="eastAsia"/>
          <w:sz w:val="32"/>
          <w:szCs w:val="32"/>
        </w:rPr>
        <w:lastRenderedPageBreak/>
        <w:t>务所配合调查程度以及事务所自身能力等</w:t>
      </w:r>
      <w:proofErr w:type="gramStart"/>
      <w:r>
        <w:rPr>
          <w:rFonts w:ascii="仿宋" w:eastAsia="仿宋" w:hAnsi="仿宋" w:cs="宋体" w:hint="eastAsia"/>
          <w:sz w:val="32"/>
          <w:szCs w:val="32"/>
        </w:rPr>
        <w:t>考量</w:t>
      </w:r>
      <w:proofErr w:type="gramEnd"/>
      <w:r>
        <w:rPr>
          <w:rFonts w:ascii="仿宋" w:eastAsia="仿宋" w:hAnsi="仿宋" w:cs="宋体" w:hint="eastAsia"/>
          <w:sz w:val="32"/>
          <w:szCs w:val="32"/>
        </w:rPr>
        <w:t>。当事人承诺制度本质还是行政行为，其所代表的应是监管机构对市场的监督和规范，并不能等同于司法行为所代表的对违法的惩治。《证券期货行政执法当事人承诺制度实施办法》第14条将涉嫌违法行为可得收益、涉嫌违法行为可能被处以罚款、没收违法所得的金额、投资者涉嫌违法行为所遭受的损失以及签署承诺认可协议时所处的执法阶段作为数额</w:t>
      </w:r>
      <w:proofErr w:type="gramStart"/>
      <w:r>
        <w:rPr>
          <w:rFonts w:ascii="仿宋" w:eastAsia="仿宋" w:hAnsi="仿宋" w:cs="宋体" w:hint="eastAsia"/>
          <w:sz w:val="32"/>
          <w:szCs w:val="32"/>
        </w:rPr>
        <w:t>考量</w:t>
      </w:r>
      <w:proofErr w:type="gramEnd"/>
      <w:r>
        <w:rPr>
          <w:rFonts w:ascii="仿宋" w:eastAsia="仿宋" w:hAnsi="仿宋" w:cs="宋体" w:hint="eastAsia"/>
          <w:sz w:val="32"/>
          <w:szCs w:val="32"/>
        </w:rPr>
        <w:t>因素。但仅考虑违法性因素不足以在监管中全面评价涉</w:t>
      </w:r>
      <w:proofErr w:type="gramStart"/>
      <w:r>
        <w:rPr>
          <w:rFonts w:ascii="仿宋" w:eastAsia="仿宋" w:hAnsi="仿宋" w:cs="宋体" w:hint="eastAsia"/>
          <w:sz w:val="32"/>
          <w:szCs w:val="32"/>
        </w:rPr>
        <w:t>事主体</w:t>
      </w:r>
      <w:proofErr w:type="gramEnd"/>
      <w:r>
        <w:rPr>
          <w:rFonts w:ascii="仿宋" w:eastAsia="仿宋" w:hAnsi="仿宋" w:cs="宋体" w:hint="eastAsia"/>
          <w:sz w:val="32"/>
          <w:szCs w:val="32"/>
        </w:rPr>
        <w:t>的行为。因此，应从不同角度</w:t>
      </w:r>
      <w:proofErr w:type="gramStart"/>
      <w:r>
        <w:rPr>
          <w:rFonts w:ascii="仿宋" w:eastAsia="仿宋" w:hAnsi="仿宋" w:cs="宋体" w:hint="eastAsia"/>
          <w:sz w:val="32"/>
          <w:szCs w:val="32"/>
        </w:rPr>
        <w:t>考量</w:t>
      </w:r>
      <w:proofErr w:type="gramEnd"/>
      <w:r>
        <w:rPr>
          <w:rFonts w:ascii="仿宋" w:eastAsia="仿宋" w:hAnsi="仿宋" w:cs="宋体" w:hint="eastAsia"/>
          <w:sz w:val="32"/>
          <w:szCs w:val="32"/>
        </w:rPr>
        <w:t>数额问题。就事务所履职情况而言，往往存在第三方恶意隐瞒欺诈的情况，此时若仍</w:t>
      </w:r>
      <w:proofErr w:type="gramStart"/>
      <w:r>
        <w:rPr>
          <w:rFonts w:ascii="仿宋" w:eastAsia="仿宋" w:hAnsi="仿宋" w:cs="宋体" w:hint="eastAsia"/>
          <w:sz w:val="32"/>
          <w:szCs w:val="32"/>
        </w:rPr>
        <w:t>让履行</w:t>
      </w:r>
      <w:proofErr w:type="gramEnd"/>
      <w:r>
        <w:rPr>
          <w:rFonts w:ascii="仿宋" w:eastAsia="仿宋" w:hAnsi="仿宋" w:cs="宋体" w:hint="eastAsia"/>
          <w:sz w:val="32"/>
          <w:szCs w:val="32"/>
        </w:rPr>
        <w:t>通常职责的事务所承担较重的责任，明显有违行政法合理性原则。就事务所配合调查程度而言，不同的主体的配合程度差异较大，理应对积极配合调查的主体予以适当减少，起到激励作用。此外，就事务所自身能力而言，我国事务所发展程度差异较大，各自的承受能力不尽相同。应对事务所的赔付能力进行充分了解，并作为</w:t>
      </w:r>
      <w:proofErr w:type="gramStart"/>
      <w:r>
        <w:rPr>
          <w:rFonts w:ascii="仿宋" w:eastAsia="仿宋" w:hAnsi="仿宋" w:cs="宋体" w:hint="eastAsia"/>
          <w:sz w:val="32"/>
          <w:szCs w:val="32"/>
        </w:rPr>
        <w:t>承诺金</w:t>
      </w:r>
      <w:proofErr w:type="gramEnd"/>
      <w:r>
        <w:rPr>
          <w:rFonts w:ascii="仿宋" w:eastAsia="仿宋" w:hAnsi="仿宋" w:cs="宋体" w:hint="eastAsia"/>
          <w:sz w:val="32"/>
          <w:szCs w:val="32"/>
        </w:rPr>
        <w:t>数额的认定依据，起到刚柔并济的效果。</w:t>
      </w:r>
    </w:p>
    <w:p w14:paraId="4D3F747E"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最后，出于事务所组织结构稳定性以及整改实施的持续性的保证，可以允许将</w:t>
      </w:r>
      <w:proofErr w:type="gramStart"/>
      <w:r>
        <w:rPr>
          <w:rFonts w:ascii="仿宋" w:eastAsia="仿宋" w:hAnsi="仿宋" w:cs="宋体" w:hint="eastAsia"/>
          <w:sz w:val="32"/>
          <w:szCs w:val="32"/>
        </w:rPr>
        <w:t>承诺金</w:t>
      </w:r>
      <w:proofErr w:type="gramEnd"/>
      <w:r>
        <w:rPr>
          <w:rFonts w:ascii="仿宋" w:eastAsia="仿宋" w:hAnsi="仿宋" w:cs="宋体" w:hint="eastAsia"/>
          <w:sz w:val="32"/>
          <w:szCs w:val="32"/>
        </w:rPr>
        <w:t>中对事务所确有压力的一部分作为强制性合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投入、强制性内部制度建设投入等措施，在降低短期金额压力的同时，提高事务所的自身建设，并通过提交报告确保其流向。</w:t>
      </w:r>
    </w:p>
    <w:p w14:paraId="1664D2CD" w14:textId="77777777" w:rsidR="00203670" w:rsidRDefault="003E3946">
      <w:pPr>
        <w:spacing w:line="560" w:lineRule="exact"/>
        <w:ind w:firstLineChars="200" w:firstLine="640"/>
        <w:outlineLvl w:val="2"/>
        <w:rPr>
          <w:rFonts w:ascii="仿宋" w:eastAsia="仿宋" w:hAnsi="仿宋" w:cs="楷体" w:hint="eastAsia"/>
          <w:sz w:val="32"/>
          <w:szCs w:val="32"/>
        </w:rPr>
      </w:pPr>
      <w:bookmarkStart w:id="39" w:name="_Toc25317"/>
      <w:r>
        <w:rPr>
          <w:rFonts w:ascii="仿宋" w:eastAsia="仿宋" w:hAnsi="仿宋" w:cs="楷体" w:hint="eastAsia"/>
          <w:sz w:val="32"/>
          <w:szCs w:val="32"/>
        </w:rPr>
        <w:t>3.明确事务所向首恶追偿的可行路径</w:t>
      </w:r>
      <w:bookmarkEnd w:id="39"/>
    </w:p>
    <w:p w14:paraId="34F7D1D3"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事务所是否愿意主动适用行政执法当事人承诺制度，也</w:t>
      </w:r>
      <w:r>
        <w:rPr>
          <w:rFonts w:ascii="仿宋" w:eastAsia="仿宋" w:hAnsi="仿宋" w:cs="宋体" w:hint="eastAsia"/>
          <w:sz w:val="32"/>
          <w:szCs w:val="32"/>
        </w:rPr>
        <w:lastRenderedPageBreak/>
        <w:t>取决于其能否在承担“过渡性”责任后，顺利向造假链条中的真正责任人（发行人、管理层及相关第三方）追偿，可以从以下方面完善追责路径。</w:t>
      </w:r>
    </w:p>
    <w:p w14:paraId="22394CD8"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在证据层面，应当允许事务所向证券监督管理机构申请获取必要的调查材料。在此类案件中，事务所作为受欺诈方，难以通过审计手段获取真实材料，也就无法证明自身勤勉尽责。而由于证券监督管理机构已经进行了必要调查，相比于受欺诈的事务所而言，可能掌握了更加全面具体的证据材料。因此，应在对敏感信息进行处理后，允许事务调取部分证据材料进行诉讼。</w:t>
      </w:r>
    </w:p>
    <w:p w14:paraId="0B45AEFF"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在追偿层面，司法应明确事务所在承诺履行完毕后仍可以对“首恶”、上下游“帮凶”以及其他恶意第三方享有追偿的权利。同时，在实践中逐步完善勤勉尽责的认定条件，并以此作为事务所追偿的责任比例划分基础。若事务所已勤勉尽责，那么在承诺后可以向首恶和其他责任主体主张赔偿金和承诺金。若事务所存在一般过错，则应根据过错程度承担赔偿金和承诺金，对超出应承担的范围仍可向首恶追偿。若事务所与企业等串通，共同损害投资者责任，事务所应当承担相应责任，无权追偿。总之，应尽快完善事务所的追偿机制和程序，给予其明确的心理预期，以增强其申请执法承诺制度的积极性。</w:t>
      </w:r>
    </w:p>
    <w:p w14:paraId="0B572CC7" w14:textId="592E5E4F" w:rsidR="00203670" w:rsidRDefault="003E3946">
      <w:pPr>
        <w:spacing w:line="560" w:lineRule="exact"/>
        <w:ind w:firstLineChars="200" w:firstLine="640"/>
        <w:outlineLvl w:val="1"/>
        <w:rPr>
          <w:rFonts w:ascii="楷体" w:eastAsia="楷体" w:hAnsi="楷体" w:cs="楷体" w:hint="eastAsia"/>
          <w:bCs/>
          <w:sz w:val="32"/>
          <w:szCs w:val="32"/>
        </w:rPr>
      </w:pPr>
      <w:bookmarkStart w:id="40" w:name="_Toc27812"/>
      <w:r>
        <w:rPr>
          <w:rFonts w:ascii="楷体" w:eastAsia="楷体" w:hAnsi="楷体" w:cs="楷体" w:hint="eastAsia"/>
          <w:bCs/>
          <w:sz w:val="32"/>
          <w:szCs w:val="32"/>
        </w:rPr>
        <w:t>（二）强化事务所</w:t>
      </w:r>
      <w:r w:rsidR="0067691A">
        <w:rPr>
          <w:rFonts w:ascii="楷体" w:eastAsia="楷体" w:hAnsi="楷体" w:cs="楷体" w:hint="eastAsia"/>
          <w:bCs/>
          <w:sz w:val="32"/>
          <w:szCs w:val="32"/>
        </w:rPr>
        <w:t>质量管理</w:t>
      </w:r>
      <w:r>
        <w:rPr>
          <w:rFonts w:ascii="楷体" w:eastAsia="楷体" w:hAnsi="楷体" w:cs="楷体" w:hint="eastAsia"/>
          <w:bCs/>
          <w:sz w:val="32"/>
          <w:szCs w:val="32"/>
        </w:rPr>
        <w:t>合</w:t>
      </w:r>
      <w:proofErr w:type="gramStart"/>
      <w:r>
        <w:rPr>
          <w:rFonts w:ascii="楷体" w:eastAsia="楷体" w:hAnsi="楷体" w:cs="楷体" w:hint="eastAsia"/>
          <w:bCs/>
          <w:sz w:val="32"/>
          <w:szCs w:val="32"/>
        </w:rPr>
        <w:t>规</w:t>
      </w:r>
      <w:proofErr w:type="gramEnd"/>
      <w:r>
        <w:rPr>
          <w:rFonts w:ascii="楷体" w:eastAsia="楷体" w:hAnsi="楷体" w:cs="楷体" w:hint="eastAsia"/>
          <w:bCs/>
          <w:sz w:val="32"/>
          <w:szCs w:val="32"/>
        </w:rPr>
        <w:t>建设</w:t>
      </w:r>
      <w:bookmarkEnd w:id="40"/>
    </w:p>
    <w:p w14:paraId="09943CF5" w14:textId="77777777" w:rsidR="0067691A" w:rsidRPr="0067691A" w:rsidRDefault="0067691A" w:rsidP="0067691A">
      <w:pPr>
        <w:spacing w:line="560" w:lineRule="exact"/>
        <w:ind w:firstLineChars="200" w:firstLine="640"/>
        <w:outlineLvl w:val="2"/>
        <w:rPr>
          <w:rFonts w:ascii="仿宋" w:eastAsia="仿宋" w:hAnsi="仿宋" w:cs="楷体" w:hint="eastAsia"/>
          <w:sz w:val="32"/>
          <w:szCs w:val="32"/>
        </w:rPr>
      </w:pPr>
      <w:bookmarkStart w:id="41" w:name="_Toc27132"/>
      <w:r w:rsidRPr="0067691A">
        <w:rPr>
          <w:rFonts w:ascii="仿宋" w:eastAsia="仿宋" w:hAnsi="仿宋" w:cs="楷体" w:hint="eastAsia"/>
          <w:sz w:val="32"/>
          <w:szCs w:val="32"/>
        </w:rPr>
        <w:t>1.深化系统化的质量管理合</w:t>
      </w:r>
      <w:proofErr w:type="gramStart"/>
      <w:r w:rsidRPr="0067691A">
        <w:rPr>
          <w:rFonts w:ascii="仿宋" w:eastAsia="仿宋" w:hAnsi="仿宋" w:cs="楷体" w:hint="eastAsia"/>
          <w:sz w:val="32"/>
          <w:szCs w:val="32"/>
        </w:rPr>
        <w:t>规</w:t>
      </w:r>
      <w:proofErr w:type="gramEnd"/>
      <w:r w:rsidRPr="0067691A">
        <w:rPr>
          <w:rFonts w:ascii="仿宋" w:eastAsia="仿宋" w:hAnsi="仿宋" w:cs="楷体" w:hint="eastAsia"/>
          <w:sz w:val="32"/>
          <w:szCs w:val="32"/>
        </w:rPr>
        <w:t>体系</w:t>
      </w:r>
    </w:p>
    <w:p w14:paraId="16F32E3E" w14:textId="77777777" w:rsidR="0067691A" w:rsidRPr="0067691A" w:rsidRDefault="0067691A" w:rsidP="0067691A">
      <w:pPr>
        <w:spacing w:line="560" w:lineRule="exact"/>
        <w:ind w:firstLineChars="200" w:firstLine="640"/>
        <w:outlineLvl w:val="2"/>
        <w:rPr>
          <w:rFonts w:ascii="仿宋" w:eastAsia="仿宋" w:hAnsi="仿宋" w:cs="楷体" w:hint="eastAsia"/>
          <w:sz w:val="32"/>
          <w:szCs w:val="32"/>
        </w:rPr>
      </w:pPr>
      <w:r w:rsidRPr="0067691A">
        <w:rPr>
          <w:rFonts w:ascii="仿宋" w:eastAsia="仿宋" w:hAnsi="仿宋" w:cs="楷体" w:hint="eastAsia"/>
          <w:sz w:val="32"/>
          <w:szCs w:val="32"/>
        </w:rPr>
        <w:t>首先，在国家层面的制度建设方面，财政部已发布《关</w:t>
      </w:r>
      <w:r w:rsidRPr="0067691A">
        <w:rPr>
          <w:rFonts w:ascii="仿宋" w:eastAsia="仿宋" w:hAnsi="仿宋" w:cs="楷体" w:hint="eastAsia"/>
          <w:sz w:val="32"/>
          <w:szCs w:val="32"/>
        </w:rPr>
        <w:lastRenderedPageBreak/>
        <w:t>于加强会计师事务所基础性标准体系建设的指导意见》（以下简称《标准体系指导意见》），对事务所内部治理、风险管理、质量管理、信息化建设等</w:t>
      </w:r>
      <w:proofErr w:type="gramStart"/>
      <w:r w:rsidRPr="0067691A">
        <w:rPr>
          <w:rFonts w:ascii="仿宋" w:eastAsia="仿宋" w:hAnsi="仿宋" w:cs="楷体" w:hint="eastAsia"/>
          <w:sz w:val="32"/>
          <w:szCs w:val="32"/>
        </w:rPr>
        <w:t>作出</w:t>
      </w:r>
      <w:proofErr w:type="gramEnd"/>
      <w:r w:rsidRPr="0067691A">
        <w:rPr>
          <w:rFonts w:ascii="仿宋" w:eastAsia="仿宋" w:hAnsi="仿宋" w:cs="楷体" w:hint="eastAsia"/>
          <w:sz w:val="32"/>
          <w:szCs w:val="32"/>
        </w:rPr>
        <w:t>总体规划，为行业构建统一的“标准体系”奠定了制度基础；且就《</w:t>
      </w:r>
      <w:bookmarkStart w:id="42" w:name="OLE_LINK19"/>
      <w:r w:rsidRPr="0067691A">
        <w:rPr>
          <w:rFonts w:ascii="仿宋" w:eastAsia="仿宋" w:hAnsi="仿宋" w:cs="楷体" w:hint="eastAsia"/>
          <w:sz w:val="32"/>
          <w:szCs w:val="32"/>
        </w:rPr>
        <w:t>标准体系指导意见</w:t>
      </w:r>
      <w:bookmarkEnd w:id="42"/>
      <w:r w:rsidRPr="0067691A">
        <w:rPr>
          <w:rFonts w:ascii="仿宋" w:eastAsia="仿宋" w:hAnsi="仿宋" w:cs="楷体" w:hint="eastAsia"/>
          <w:sz w:val="32"/>
          <w:szCs w:val="32"/>
        </w:rPr>
        <w:t>》的具体实施办法，中国注册会计师协会已经形成意见稿并上报财政部审核。这意味着，相关制度正在从原则性框架向操作性规则加速推进，但该标准体系目前尚未全面纳入监管评价框架，其实际执行效果仍有赖于配套制度进一步细化与落实，制度体系正处于由“框架确立”向“规则落地”逐步过渡的阶段。</w:t>
      </w:r>
    </w:p>
    <w:p w14:paraId="0A41AC96" w14:textId="77777777" w:rsidR="0067691A" w:rsidRPr="0067691A" w:rsidRDefault="0067691A" w:rsidP="0067691A">
      <w:pPr>
        <w:spacing w:line="560" w:lineRule="exact"/>
        <w:ind w:firstLineChars="200" w:firstLine="640"/>
        <w:outlineLvl w:val="2"/>
        <w:rPr>
          <w:rFonts w:ascii="仿宋" w:eastAsia="仿宋" w:hAnsi="仿宋" w:cs="楷体" w:hint="eastAsia"/>
          <w:sz w:val="32"/>
          <w:szCs w:val="32"/>
        </w:rPr>
      </w:pPr>
      <w:r w:rsidRPr="0067691A">
        <w:rPr>
          <w:rFonts w:ascii="仿宋" w:eastAsia="仿宋" w:hAnsi="仿宋" w:cs="楷体" w:hint="eastAsia"/>
          <w:sz w:val="32"/>
          <w:szCs w:val="32"/>
        </w:rPr>
        <w:t>其次，在事务所层面，内部治理主要依托《会计师事务所质量管理准则第5101号》（以下简称5101号准则）《会计师事务所一体化管理办法》（以下简称《一体化管理办法》）以及新出台的《标准体系指导意见》。尽管三者共同构成事务所开展合</w:t>
      </w:r>
      <w:proofErr w:type="gramStart"/>
      <w:r w:rsidRPr="0067691A">
        <w:rPr>
          <w:rFonts w:ascii="仿宋" w:eastAsia="仿宋" w:hAnsi="仿宋" w:cs="楷体" w:hint="eastAsia"/>
          <w:sz w:val="32"/>
          <w:szCs w:val="32"/>
        </w:rPr>
        <w:t>规</w:t>
      </w:r>
      <w:proofErr w:type="gramEnd"/>
      <w:r w:rsidRPr="0067691A">
        <w:rPr>
          <w:rFonts w:ascii="仿宋" w:eastAsia="仿宋" w:hAnsi="仿宋" w:cs="楷体" w:hint="eastAsia"/>
          <w:sz w:val="32"/>
          <w:szCs w:val="32"/>
        </w:rPr>
        <w:t>建设的基本制度框架，但在实际运行中存在衔接不充分、制度细化不足及执行力度不均衡等问题。一些事务所对“合规”的</w:t>
      </w:r>
      <w:proofErr w:type="gramStart"/>
      <w:r w:rsidRPr="0067691A">
        <w:rPr>
          <w:rFonts w:ascii="仿宋" w:eastAsia="仿宋" w:hAnsi="仿宋" w:cs="楷体" w:hint="eastAsia"/>
          <w:sz w:val="32"/>
          <w:szCs w:val="32"/>
        </w:rPr>
        <w:t>理解仍</w:t>
      </w:r>
      <w:proofErr w:type="gramEnd"/>
      <w:r w:rsidRPr="0067691A">
        <w:rPr>
          <w:rFonts w:ascii="仿宋" w:eastAsia="仿宋" w:hAnsi="仿宋" w:cs="楷体" w:hint="eastAsia"/>
          <w:sz w:val="32"/>
          <w:szCs w:val="32"/>
        </w:rPr>
        <w:t>较为狭窄，未能将标准体系要求转化为制度化、程序化的治理流程，也未能形成覆盖战略、组织、流程与监督环节的系统合</w:t>
      </w:r>
      <w:proofErr w:type="gramStart"/>
      <w:r w:rsidRPr="0067691A">
        <w:rPr>
          <w:rFonts w:ascii="仿宋" w:eastAsia="仿宋" w:hAnsi="仿宋" w:cs="楷体" w:hint="eastAsia"/>
          <w:sz w:val="32"/>
          <w:szCs w:val="32"/>
        </w:rPr>
        <w:t>规</w:t>
      </w:r>
      <w:proofErr w:type="gramEnd"/>
      <w:r w:rsidRPr="0067691A">
        <w:rPr>
          <w:rFonts w:ascii="仿宋" w:eastAsia="仿宋" w:hAnsi="仿宋" w:cs="楷体" w:hint="eastAsia"/>
          <w:sz w:val="32"/>
          <w:szCs w:val="32"/>
        </w:rPr>
        <w:t>机制。由此导致制度要求在实践中难以有效落地，未能真正发挥规范内部治理、提升执业能力的功能。</w:t>
      </w:r>
    </w:p>
    <w:p w14:paraId="79774CF3" w14:textId="77777777" w:rsidR="0067691A" w:rsidRDefault="0067691A" w:rsidP="0067691A">
      <w:pPr>
        <w:spacing w:line="560" w:lineRule="exact"/>
        <w:ind w:firstLineChars="200" w:firstLine="640"/>
        <w:outlineLvl w:val="2"/>
        <w:rPr>
          <w:rFonts w:ascii="仿宋" w:eastAsia="仿宋" w:hAnsi="仿宋" w:cs="楷体" w:hint="eastAsia"/>
          <w:sz w:val="32"/>
          <w:szCs w:val="32"/>
        </w:rPr>
      </w:pPr>
      <w:r w:rsidRPr="0067691A">
        <w:rPr>
          <w:rFonts w:ascii="仿宋" w:eastAsia="仿宋" w:hAnsi="仿宋" w:cs="楷体" w:hint="eastAsia"/>
          <w:sz w:val="32"/>
          <w:szCs w:val="32"/>
        </w:rPr>
        <w:t>在此背景下，为提升基础性标准体系的可操作性，亟须推动制度体系的落地：其一，将《标准体系指导意见》与《5101号准则》《一体化管理办法》进行系统整合，形成涵盖战略、</w:t>
      </w:r>
      <w:r w:rsidRPr="0067691A">
        <w:rPr>
          <w:rFonts w:ascii="仿宋" w:eastAsia="仿宋" w:hAnsi="仿宋" w:cs="楷体" w:hint="eastAsia"/>
          <w:sz w:val="32"/>
          <w:szCs w:val="32"/>
        </w:rPr>
        <w:lastRenderedPageBreak/>
        <w:t>治理、质量、风险与信息化的全链条合</w:t>
      </w:r>
      <w:proofErr w:type="gramStart"/>
      <w:r w:rsidRPr="0067691A">
        <w:rPr>
          <w:rFonts w:ascii="仿宋" w:eastAsia="仿宋" w:hAnsi="仿宋" w:cs="楷体" w:hint="eastAsia"/>
          <w:sz w:val="32"/>
          <w:szCs w:val="32"/>
        </w:rPr>
        <w:t>规</w:t>
      </w:r>
      <w:proofErr w:type="gramEnd"/>
      <w:r w:rsidRPr="0067691A">
        <w:rPr>
          <w:rFonts w:ascii="仿宋" w:eastAsia="仿宋" w:hAnsi="仿宋" w:cs="楷体" w:hint="eastAsia"/>
          <w:sz w:val="32"/>
          <w:szCs w:val="32"/>
        </w:rPr>
        <w:t>建设蓝图；其二，尽快制定更具可操作性的配套指引，如质量管理、风险管理、业务承接、档案管理等专项指南，并将相关要求纳入监管检查重点，使标准化要求真正转化为可检验、可量化的合</w:t>
      </w:r>
      <w:proofErr w:type="gramStart"/>
      <w:r w:rsidRPr="0067691A">
        <w:rPr>
          <w:rFonts w:ascii="仿宋" w:eastAsia="仿宋" w:hAnsi="仿宋" w:cs="楷体" w:hint="eastAsia"/>
          <w:sz w:val="32"/>
          <w:szCs w:val="32"/>
        </w:rPr>
        <w:t>规</w:t>
      </w:r>
      <w:proofErr w:type="gramEnd"/>
      <w:r w:rsidRPr="0067691A">
        <w:rPr>
          <w:rFonts w:ascii="仿宋" w:eastAsia="仿宋" w:hAnsi="仿宋" w:cs="楷体" w:hint="eastAsia"/>
          <w:sz w:val="32"/>
          <w:szCs w:val="32"/>
        </w:rPr>
        <w:t>内容；其三，将基础性标准体系的执行情况纳入监管评价体系，与项目检查、事务所综合评价、执业许可及证券资格管理等制度挂钩，从制度上强化事务所主动合</w:t>
      </w:r>
      <w:proofErr w:type="gramStart"/>
      <w:r w:rsidRPr="0067691A">
        <w:rPr>
          <w:rFonts w:ascii="仿宋" w:eastAsia="仿宋" w:hAnsi="仿宋" w:cs="楷体" w:hint="eastAsia"/>
          <w:sz w:val="32"/>
          <w:szCs w:val="32"/>
        </w:rPr>
        <w:t>规</w:t>
      </w:r>
      <w:proofErr w:type="gramEnd"/>
      <w:r w:rsidRPr="0067691A">
        <w:rPr>
          <w:rFonts w:ascii="仿宋" w:eastAsia="仿宋" w:hAnsi="仿宋" w:cs="楷体" w:hint="eastAsia"/>
          <w:sz w:val="32"/>
          <w:szCs w:val="32"/>
        </w:rPr>
        <w:t>的激励；其四，鼓励事务所主动对标新标准体系，加快内部制度整合与流程优化，实现从“纸面合规”向“运行合规”的转变。</w:t>
      </w:r>
    </w:p>
    <w:p w14:paraId="213F7670" w14:textId="70D0122A" w:rsidR="00203670" w:rsidRDefault="003E3946" w:rsidP="0067691A">
      <w:pPr>
        <w:spacing w:line="560" w:lineRule="exact"/>
        <w:ind w:firstLineChars="200" w:firstLine="640"/>
        <w:outlineLvl w:val="2"/>
        <w:rPr>
          <w:rFonts w:ascii="仿宋" w:eastAsia="仿宋" w:hAnsi="仿宋" w:cs="楷体" w:hint="eastAsia"/>
          <w:sz w:val="32"/>
          <w:szCs w:val="32"/>
        </w:rPr>
      </w:pPr>
      <w:r>
        <w:rPr>
          <w:rFonts w:ascii="仿宋" w:eastAsia="仿宋" w:hAnsi="仿宋" w:cs="楷体" w:hint="eastAsia"/>
          <w:sz w:val="32"/>
          <w:szCs w:val="32"/>
        </w:rPr>
        <w:t>2.推动监管模式从“事后处罚”向“事前预防”转变</w:t>
      </w:r>
      <w:bookmarkEnd w:id="41"/>
    </w:p>
    <w:p w14:paraId="1AAF5EBD"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首先，建议在检查与处罚环节中引入“指导性整改建议”制度。当监管部门形成检查意见或者</w:t>
      </w:r>
      <w:proofErr w:type="gramStart"/>
      <w:r>
        <w:rPr>
          <w:rFonts w:ascii="仿宋" w:eastAsia="仿宋" w:hAnsi="仿宋" w:cs="宋体" w:hint="eastAsia"/>
          <w:sz w:val="32"/>
          <w:szCs w:val="32"/>
        </w:rPr>
        <w:t>作出</w:t>
      </w:r>
      <w:proofErr w:type="gramEnd"/>
      <w:r>
        <w:rPr>
          <w:rFonts w:ascii="仿宋" w:eastAsia="仿宋" w:hAnsi="仿宋" w:cs="宋体" w:hint="eastAsia"/>
          <w:sz w:val="32"/>
          <w:szCs w:val="32"/>
        </w:rPr>
        <w:t>行政处罚决定时，应当同时针对事务所在质量管理方面存在的薄弱环节，提出具体、可量化并且有操作性的整改要求，并设置明确的整改期限与阶段性目标，使整改过程由事务所的“自主探索式整改”转变为“监管引导下的结构化改进”，以此提升整改的针对性以及有效性。其次，建议建立整改后复核机制。参考PCAOB的整改后监督安排，我国可探索在处罚</w:t>
      </w:r>
      <w:proofErr w:type="gramStart"/>
      <w:r>
        <w:rPr>
          <w:rFonts w:ascii="仿宋" w:eastAsia="仿宋" w:hAnsi="仿宋" w:cs="宋体" w:hint="eastAsia"/>
          <w:sz w:val="32"/>
          <w:szCs w:val="32"/>
        </w:rPr>
        <w:t>作出</w:t>
      </w:r>
      <w:proofErr w:type="gramEnd"/>
      <w:r>
        <w:rPr>
          <w:rFonts w:ascii="仿宋" w:eastAsia="仿宋" w:hAnsi="仿宋" w:cs="宋体" w:hint="eastAsia"/>
          <w:sz w:val="32"/>
          <w:szCs w:val="32"/>
        </w:rPr>
        <w:t>后一定期限内启动专项复核，对事务所提交的整改落实情况、执行报告及效果评估材料进行系统审查。对于整改成效未达到预期的事务所，应当再次纳入重点检查范围，必要时采取进一步监管措施，以此保证整改要求切实落实，避免出现形式主义整改。此外，可构建制度化的整改信息披露机制，鼓励监管机构按照年度发布优秀整改实践案例等信息，搭建公开透明</w:t>
      </w:r>
      <w:r>
        <w:rPr>
          <w:rFonts w:ascii="仿宋" w:eastAsia="仿宋" w:hAnsi="仿宋" w:cs="宋体" w:hint="eastAsia"/>
          <w:sz w:val="32"/>
          <w:szCs w:val="32"/>
        </w:rPr>
        <w:lastRenderedPageBreak/>
        <w:t>的合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经验共享平台，促进整个行业对常见合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问题进行有效学习与整改，推动整体质量管理水平不断提升。</w:t>
      </w:r>
    </w:p>
    <w:p w14:paraId="54D2270A" w14:textId="77777777" w:rsidR="00203670" w:rsidRDefault="003E3946">
      <w:pPr>
        <w:spacing w:line="560" w:lineRule="exact"/>
        <w:ind w:firstLineChars="200" w:firstLine="640"/>
        <w:outlineLvl w:val="2"/>
        <w:rPr>
          <w:rFonts w:ascii="仿宋" w:eastAsia="仿宋" w:hAnsi="仿宋" w:cs="楷体" w:hint="eastAsia"/>
          <w:sz w:val="32"/>
          <w:szCs w:val="32"/>
        </w:rPr>
      </w:pPr>
      <w:bookmarkStart w:id="43" w:name="_Toc11387"/>
      <w:r>
        <w:rPr>
          <w:rFonts w:ascii="仿宋" w:eastAsia="仿宋" w:hAnsi="仿宋" w:cs="楷体" w:hint="eastAsia"/>
          <w:sz w:val="32"/>
          <w:szCs w:val="32"/>
        </w:rPr>
        <w:t>3.建立制度性、动态性的激励约束机制</w:t>
      </w:r>
      <w:bookmarkEnd w:id="43"/>
    </w:p>
    <w:p w14:paraId="1D30952F"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在强化执法力度的同时，应通过制度设计形成正向激励，使事务所认识到合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建设是市场竞争力的重要基础。可借鉴PCAOB的“双轨机制”，探索建立具有中国特色的</w:t>
      </w:r>
      <w:proofErr w:type="gramStart"/>
      <w:r>
        <w:rPr>
          <w:rFonts w:ascii="仿宋" w:eastAsia="仿宋" w:hAnsi="仿宋" w:cs="宋体" w:hint="eastAsia"/>
          <w:sz w:val="32"/>
          <w:szCs w:val="32"/>
        </w:rPr>
        <w:t>激励型合规制</w:t>
      </w:r>
      <w:proofErr w:type="gramEnd"/>
      <w:r>
        <w:rPr>
          <w:rFonts w:ascii="仿宋" w:eastAsia="仿宋" w:hAnsi="仿宋" w:cs="宋体" w:hint="eastAsia"/>
          <w:sz w:val="32"/>
          <w:szCs w:val="32"/>
        </w:rPr>
        <w:t>度。</w:t>
      </w:r>
    </w:p>
    <w:p w14:paraId="6BD7EAC9"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首先，针对情节较轻且可纠正的违规行为，可引入主动整改减轻处罚的机制。若事务所在调查阶段主动披露问题、积极配合调查并提交可验证的整改方案，监管部门在裁量时可适度给予从宽处理，例如减少罚款数额、缩短信息公开时长等。这类机制可减弱事务所想要隐瞒问题的动机，推动其在违规初始阶段就主动纠错，形成“早发现、早整改”的行业规范。</w:t>
      </w:r>
    </w:p>
    <w:p w14:paraId="5557227F"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其次，应构建合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绩效评价制度，为行业提供明确的正向激励。英国FRC年度审计质量评估（AQR）针对事务所的审计质量展开分级评价，例如划分成“良好”“有限改进”“重大改进”这几个等级，并且</w:t>
      </w:r>
      <w:proofErr w:type="gramStart"/>
      <w:r>
        <w:rPr>
          <w:rFonts w:ascii="仿宋" w:eastAsia="仿宋" w:hAnsi="仿宋" w:cs="宋体" w:hint="eastAsia"/>
          <w:sz w:val="32"/>
          <w:szCs w:val="32"/>
        </w:rPr>
        <w:t>把评价</w:t>
      </w:r>
      <w:proofErr w:type="gramEnd"/>
      <w:r>
        <w:rPr>
          <w:rFonts w:ascii="仿宋" w:eastAsia="仿宋" w:hAnsi="仿宋" w:cs="宋体" w:hint="eastAsia"/>
          <w:sz w:val="32"/>
          <w:szCs w:val="32"/>
        </w:rPr>
        <w:t>结果予以公开，同时联动后续的检查安排、注册条件以及业务限制等相关措施，形成一种“高质量—低监管压力、低质量—高监管要求”的激励结构。</w:t>
      </w:r>
      <w:r>
        <w:rPr>
          <w:rStyle w:val="af3"/>
          <w:rFonts w:ascii="仿宋" w:eastAsia="仿宋" w:hAnsi="仿宋" w:cs="宋体" w:hint="eastAsia"/>
          <w:sz w:val="32"/>
          <w:szCs w:val="32"/>
        </w:rPr>
        <w:footnoteReference w:id="28"/>
      </w:r>
      <w:r>
        <w:rPr>
          <w:rFonts w:ascii="仿宋" w:eastAsia="仿宋" w:hAnsi="仿宋" w:cs="宋体" w:hint="eastAsia"/>
          <w:sz w:val="32"/>
          <w:szCs w:val="32"/>
        </w:rPr>
        <w:t>我国可借鉴此模式，构建起覆盖整个行业的合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绩效评价体系，</w:t>
      </w:r>
      <w:proofErr w:type="gramStart"/>
      <w:r>
        <w:rPr>
          <w:rFonts w:ascii="仿宋" w:eastAsia="仿宋" w:hAnsi="仿宋" w:cs="宋体" w:hint="eastAsia"/>
          <w:sz w:val="32"/>
          <w:szCs w:val="32"/>
        </w:rPr>
        <w:t>把评价</w:t>
      </w:r>
      <w:proofErr w:type="gramEnd"/>
      <w:r>
        <w:rPr>
          <w:rFonts w:ascii="仿宋" w:eastAsia="仿宋" w:hAnsi="仿宋" w:cs="宋体" w:hint="eastAsia"/>
          <w:sz w:val="32"/>
          <w:szCs w:val="32"/>
        </w:rPr>
        <w:t>结果和检查频次、资格认定以及项目准入等相互关联，并且定期发布行业合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评价以及优秀整改实践</w:t>
      </w:r>
      <w:r>
        <w:rPr>
          <w:rFonts w:ascii="仿宋" w:eastAsia="仿宋" w:hAnsi="仿宋" w:cs="宋体" w:hint="eastAsia"/>
          <w:sz w:val="32"/>
          <w:szCs w:val="32"/>
        </w:rPr>
        <w:lastRenderedPageBreak/>
        <w:t>报告，让良好合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获得制度红利，推动事务所从被动应对向主动提升合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管理能力转变。</w:t>
      </w:r>
    </w:p>
    <w:p w14:paraId="0AD3372F"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最后，建议构建可量化、可追踪的合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反馈机制。通过建立年度合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自查、合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指标体系及动态监测平台，实现合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信息的数据化和可视化。监管部门可定期发布行业合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分析报告，以此引导事务所参照</w:t>
      </w:r>
      <w:proofErr w:type="gramStart"/>
      <w:r>
        <w:rPr>
          <w:rFonts w:ascii="仿宋" w:eastAsia="仿宋" w:hAnsi="仿宋" w:cs="宋体" w:hint="eastAsia"/>
          <w:sz w:val="32"/>
          <w:szCs w:val="32"/>
        </w:rPr>
        <w:t>优秀实践</w:t>
      </w:r>
      <w:proofErr w:type="gramEnd"/>
      <w:r>
        <w:rPr>
          <w:rFonts w:ascii="仿宋" w:eastAsia="仿宋" w:hAnsi="仿宋" w:cs="宋体" w:hint="eastAsia"/>
          <w:sz w:val="32"/>
          <w:szCs w:val="32"/>
        </w:rPr>
        <w:t>范例，把合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纳入常态化监测体系，有助于防范形式化整改情况出现，促使合</w:t>
      </w:r>
      <w:proofErr w:type="gramStart"/>
      <w:r>
        <w:rPr>
          <w:rFonts w:ascii="仿宋" w:eastAsia="仿宋" w:hAnsi="仿宋" w:cs="宋体" w:hint="eastAsia"/>
          <w:sz w:val="32"/>
          <w:szCs w:val="32"/>
        </w:rPr>
        <w:t>规</w:t>
      </w:r>
      <w:proofErr w:type="gramEnd"/>
      <w:r>
        <w:rPr>
          <w:rFonts w:ascii="仿宋" w:eastAsia="仿宋" w:hAnsi="仿宋" w:cs="宋体" w:hint="eastAsia"/>
          <w:sz w:val="32"/>
          <w:szCs w:val="32"/>
        </w:rPr>
        <w:t>切实成为事务所内部治理能力得以提升的核心驱动力。</w:t>
      </w:r>
    </w:p>
    <w:p w14:paraId="63F8BFC4" w14:textId="77777777" w:rsidR="00203670" w:rsidRDefault="003E3946">
      <w:pPr>
        <w:spacing w:line="560" w:lineRule="exact"/>
        <w:ind w:firstLineChars="200" w:firstLine="640"/>
        <w:outlineLvl w:val="1"/>
        <w:rPr>
          <w:rFonts w:ascii="楷体" w:eastAsia="楷体" w:hAnsi="楷体" w:cs="楷体" w:hint="eastAsia"/>
          <w:bCs/>
          <w:sz w:val="32"/>
          <w:szCs w:val="32"/>
        </w:rPr>
      </w:pPr>
      <w:bookmarkStart w:id="44" w:name="_Toc23994"/>
      <w:r>
        <w:rPr>
          <w:rFonts w:ascii="楷体" w:eastAsia="楷体" w:hAnsi="楷体" w:cs="楷体" w:hint="eastAsia"/>
          <w:bCs/>
          <w:sz w:val="32"/>
          <w:szCs w:val="32"/>
        </w:rPr>
        <w:t>（三）科学设定“较大数额”的行业标准</w:t>
      </w:r>
      <w:bookmarkEnd w:id="44"/>
    </w:p>
    <w:p w14:paraId="58E1BD29"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监管的核心目标不仅在于惩戒事务所的违规违法行为，更在于系统性引导注册会计师行业形成以质量为导向的执业文化，并保障行业的长远健康发展。</w:t>
      </w:r>
    </w:p>
    <w:p w14:paraId="6722AA81"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在事务所的行政处罚实践中，罚款是最直接、最可量化的制裁手段之一。但罚款并非越高越好，科学设定并适用“较大数额罚款”的标准，成为构建合理行政处罚体系、保障事务所健康发展的关键问题。监管的核心目标，不应仅仅是“为了罚而罚”，而应在惩戒与规范之间取得平衡。</w:t>
      </w:r>
      <w:r>
        <w:rPr>
          <w:rFonts w:ascii="仿宋" w:eastAsia="仿宋" w:hAnsi="仿宋" w:cs="宋体" w:hint="eastAsia"/>
          <w:sz w:val="32"/>
          <w:szCs w:val="32"/>
          <w:vertAlign w:val="superscript"/>
        </w:rPr>
        <w:footnoteReference w:id="29"/>
      </w:r>
    </w:p>
    <w:p w14:paraId="37F4042F" w14:textId="77777777" w:rsidR="00203670" w:rsidRDefault="003E3946">
      <w:pPr>
        <w:spacing w:line="560" w:lineRule="exact"/>
        <w:ind w:firstLineChars="200" w:firstLine="640"/>
        <w:outlineLvl w:val="2"/>
        <w:rPr>
          <w:rFonts w:ascii="仿宋" w:eastAsia="仿宋" w:hAnsi="仿宋" w:cs="楷体" w:hint="eastAsia"/>
          <w:sz w:val="32"/>
          <w:szCs w:val="32"/>
        </w:rPr>
      </w:pPr>
      <w:bookmarkStart w:id="45" w:name="_Toc31799"/>
      <w:r>
        <w:rPr>
          <w:rFonts w:ascii="仿宋" w:eastAsia="仿宋" w:hAnsi="仿宋" w:cs="楷体" w:hint="eastAsia"/>
          <w:sz w:val="32"/>
          <w:szCs w:val="32"/>
        </w:rPr>
        <w:t>1.遵循过</w:t>
      </w:r>
      <w:proofErr w:type="gramStart"/>
      <w:r>
        <w:rPr>
          <w:rFonts w:ascii="仿宋" w:eastAsia="仿宋" w:hAnsi="仿宋" w:cs="楷体" w:hint="eastAsia"/>
          <w:sz w:val="32"/>
          <w:szCs w:val="32"/>
        </w:rPr>
        <w:t>罚相当</w:t>
      </w:r>
      <w:proofErr w:type="gramEnd"/>
      <w:r>
        <w:rPr>
          <w:rFonts w:ascii="仿宋" w:eastAsia="仿宋" w:hAnsi="仿宋" w:cs="楷体" w:hint="eastAsia"/>
          <w:sz w:val="32"/>
          <w:szCs w:val="32"/>
        </w:rPr>
        <w:t>原则</w:t>
      </w:r>
      <w:bookmarkEnd w:id="45"/>
    </w:p>
    <w:p w14:paraId="27515971"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国务院发布的《关于进一步规范和监督罚款设定与实施的指导意见》(以下简称《指导意见》)，明确提出了科学</w:t>
      </w:r>
      <w:proofErr w:type="gramStart"/>
      <w:r>
        <w:rPr>
          <w:rFonts w:ascii="仿宋" w:eastAsia="仿宋" w:hAnsi="仿宋" w:cs="宋体" w:hint="eastAsia"/>
          <w:sz w:val="32"/>
          <w:szCs w:val="32"/>
        </w:rPr>
        <w:t>适用过罚相当</w:t>
      </w:r>
      <w:proofErr w:type="gramEnd"/>
      <w:r>
        <w:rPr>
          <w:rFonts w:ascii="仿宋" w:eastAsia="仿宋" w:hAnsi="仿宋" w:cs="宋体" w:hint="eastAsia"/>
          <w:sz w:val="32"/>
          <w:szCs w:val="32"/>
        </w:rPr>
        <w:t>原则。这一原则不仅是行政法基本原则，也是现代治理中避免“以罚代管”与“重罚主义”的重要保障，做到当宽则宽、当</w:t>
      </w:r>
      <w:proofErr w:type="gramStart"/>
      <w:r>
        <w:rPr>
          <w:rFonts w:ascii="仿宋" w:eastAsia="仿宋" w:hAnsi="仿宋" w:cs="宋体" w:hint="eastAsia"/>
          <w:sz w:val="32"/>
          <w:szCs w:val="32"/>
        </w:rPr>
        <w:t>严则严</w:t>
      </w:r>
      <w:proofErr w:type="gramEnd"/>
      <w:r>
        <w:rPr>
          <w:rFonts w:ascii="仿宋" w:eastAsia="仿宋" w:hAnsi="仿宋" w:cs="宋体" w:hint="eastAsia"/>
          <w:sz w:val="32"/>
          <w:szCs w:val="32"/>
        </w:rPr>
        <w:t>，避免失衡。设定罚款数额时，首要</w:t>
      </w:r>
      <w:r>
        <w:rPr>
          <w:rFonts w:ascii="仿宋" w:eastAsia="仿宋" w:hAnsi="仿宋" w:cs="宋体" w:hint="eastAsia"/>
          <w:sz w:val="32"/>
          <w:szCs w:val="32"/>
        </w:rPr>
        <w:lastRenderedPageBreak/>
        <w:t>的考虑因素是行政违法行为的事实、性质、情节以及社会危害程度。在此基础上，再统筹考虑经济社会发展水平、地方实际、当事人的主观过错及获利情况、相似违法行为罚款规定等因素，区分情况、分类处理，确保有效遏制违法、激励守法。</w:t>
      </w:r>
    </w:p>
    <w:p w14:paraId="76E0F9C5" w14:textId="77777777" w:rsidR="00203670" w:rsidRDefault="003E3946">
      <w:pPr>
        <w:spacing w:line="560" w:lineRule="exact"/>
        <w:ind w:firstLineChars="200" w:firstLine="640"/>
        <w:outlineLvl w:val="2"/>
        <w:rPr>
          <w:rFonts w:ascii="仿宋" w:eastAsia="仿宋" w:hAnsi="仿宋" w:cs="楷体" w:hint="eastAsia"/>
          <w:sz w:val="32"/>
          <w:szCs w:val="32"/>
        </w:rPr>
      </w:pPr>
      <w:bookmarkStart w:id="46" w:name="_Toc29889"/>
      <w:r>
        <w:rPr>
          <w:rFonts w:ascii="仿宋" w:eastAsia="仿宋" w:hAnsi="仿宋" w:cs="楷体" w:hint="eastAsia"/>
          <w:sz w:val="32"/>
          <w:szCs w:val="32"/>
        </w:rPr>
        <w:t>2.契合审计行业特点</w:t>
      </w:r>
      <w:bookmarkEnd w:id="46"/>
    </w:p>
    <w:p w14:paraId="2FDB03D6"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《关于&lt;中华人民共和国政府采购法实施条例&gt;第十九条第一款“较大数额罚款”具体适用问题的意见》（财库〔2022〕3号）明确“较大数额罚款”一般为200万元，但同时也留下了调适的空间：</w:t>
      </w:r>
      <w:proofErr w:type="gramStart"/>
      <w:r>
        <w:rPr>
          <w:rFonts w:ascii="仿宋" w:eastAsia="仿宋" w:hAnsi="仿宋" w:cs="宋体" w:hint="eastAsia"/>
          <w:sz w:val="32"/>
          <w:szCs w:val="32"/>
        </w:rPr>
        <w:t>“</w:t>
      </w:r>
      <w:proofErr w:type="gramEnd"/>
      <w:r>
        <w:rPr>
          <w:rFonts w:ascii="仿宋" w:eastAsia="仿宋" w:hAnsi="仿宋" w:cs="宋体" w:hint="eastAsia"/>
          <w:sz w:val="32"/>
          <w:szCs w:val="32"/>
        </w:rPr>
        <w:t>法律、行政法规以及国务院有关部门明确规定相关领域“较大数额罚款”标准高于200万元的，从其规定。</w:t>
      </w:r>
      <w:proofErr w:type="gramStart"/>
      <w:r>
        <w:rPr>
          <w:rFonts w:ascii="仿宋" w:eastAsia="仿宋" w:hAnsi="仿宋" w:cs="宋体" w:hint="eastAsia"/>
          <w:sz w:val="32"/>
          <w:szCs w:val="32"/>
        </w:rPr>
        <w:t>”</w:t>
      </w:r>
      <w:proofErr w:type="gramEnd"/>
      <w:r>
        <w:rPr>
          <w:rFonts w:ascii="仿宋" w:eastAsia="仿宋" w:hAnsi="仿宋" w:cs="宋体" w:hint="eastAsia"/>
          <w:sz w:val="32"/>
          <w:szCs w:val="32"/>
        </w:rPr>
        <w:t>200万元的标准针对的是各类行业，但审计行业有其特殊性。首先，事务所作为专业机构，其违规行为往往与执业规范、职业道德密切相关，而非直接谋取非法经济利益。其次，审计行业的固有局限性（如上市公司与相关方的有意欺瞒、审计手段的不足等）、事后评价的苛责或偏差，使其很</w:t>
      </w:r>
      <w:proofErr w:type="gramStart"/>
      <w:r>
        <w:rPr>
          <w:rFonts w:ascii="仿宋" w:eastAsia="仿宋" w:hAnsi="仿宋" w:cs="宋体" w:hint="eastAsia"/>
          <w:sz w:val="32"/>
          <w:szCs w:val="32"/>
        </w:rPr>
        <w:t>容易担责</w:t>
      </w:r>
      <w:proofErr w:type="gramEnd"/>
      <w:r>
        <w:rPr>
          <w:rFonts w:ascii="仿宋" w:eastAsia="仿宋" w:hAnsi="仿宋" w:cs="宋体" w:hint="eastAsia"/>
          <w:sz w:val="32"/>
          <w:szCs w:val="32"/>
        </w:rPr>
        <w:t>；而行业的</w:t>
      </w:r>
      <w:proofErr w:type="gramStart"/>
      <w:r>
        <w:rPr>
          <w:rFonts w:ascii="仿宋" w:eastAsia="仿宋" w:hAnsi="仿宋" w:cs="宋体" w:hint="eastAsia"/>
          <w:sz w:val="32"/>
          <w:szCs w:val="32"/>
        </w:rPr>
        <w:t>的</w:t>
      </w:r>
      <w:proofErr w:type="gramEnd"/>
      <w:r>
        <w:rPr>
          <w:rFonts w:ascii="仿宋" w:eastAsia="仿宋" w:hAnsi="仿宋" w:cs="宋体" w:hint="eastAsia"/>
          <w:sz w:val="32"/>
          <w:szCs w:val="32"/>
        </w:rPr>
        <w:t>收入特点决定了对其罚款很容易达到200万元标准，</w:t>
      </w:r>
      <w:proofErr w:type="gramStart"/>
      <w:r>
        <w:rPr>
          <w:rFonts w:ascii="仿宋" w:eastAsia="仿宋" w:hAnsi="仿宋" w:cs="宋体" w:hint="eastAsia"/>
          <w:sz w:val="32"/>
          <w:szCs w:val="32"/>
        </w:rPr>
        <w:t>一单证券</w:t>
      </w:r>
      <w:proofErr w:type="gramEnd"/>
      <w:r>
        <w:rPr>
          <w:rFonts w:ascii="仿宋" w:eastAsia="仿宋" w:hAnsi="仿宋" w:cs="宋体" w:hint="eastAsia"/>
          <w:sz w:val="32"/>
          <w:szCs w:val="32"/>
        </w:rPr>
        <w:t>业务收入的一倍罚款就远超此标准。</w:t>
      </w:r>
    </w:p>
    <w:p w14:paraId="002EF998"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再次，大所与中小所的业务结构、财务能力差异巨大，罚款标准若一刀切，可能导致中小所直接退出市场，反而不利于行业多元化发展。</w:t>
      </w:r>
    </w:p>
    <w:p w14:paraId="2529EF52" w14:textId="77777777" w:rsidR="00203670" w:rsidRDefault="003E3946">
      <w:pPr>
        <w:spacing w:line="560" w:lineRule="exact"/>
        <w:ind w:firstLineChars="200" w:firstLine="640"/>
        <w:outlineLvl w:val="2"/>
        <w:rPr>
          <w:rFonts w:ascii="仿宋" w:eastAsia="仿宋" w:hAnsi="仿宋" w:cs="楷体" w:hint="eastAsia"/>
          <w:sz w:val="32"/>
          <w:szCs w:val="32"/>
        </w:rPr>
      </w:pPr>
      <w:bookmarkStart w:id="47" w:name="_Toc3859"/>
      <w:r>
        <w:rPr>
          <w:rFonts w:ascii="仿宋" w:eastAsia="仿宋" w:hAnsi="仿宋" w:cs="楷体" w:hint="eastAsia"/>
          <w:sz w:val="32"/>
          <w:szCs w:val="32"/>
        </w:rPr>
        <w:t>3.具体建议</w:t>
      </w:r>
      <w:bookmarkEnd w:id="47"/>
    </w:p>
    <w:p w14:paraId="54CEF1FC"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综上，建议通过正在修订的《注册会计师法》或国务院、</w:t>
      </w:r>
      <w:r>
        <w:rPr>
          <w:rFonts w:ascii="仿宋" w:eastAsia="仿宋" w:hAnsi="仿宋" w:cs="宋体" w:hint="eastAsia"/>
          <w:sz w:val="32"/>
          <w:szCs w:val="32"/>
        </w:rPr>
        <w:lastRenderedPageBreak/>
        <w:t>财政部的相关规定，科学设定“较大数额”的行业标准。一是在总体上提高审计行业的“较大数额罚款”标准。二是对证券业务的“较大数额罚款”标准可以调整为“较大倍数罚款”或“较多次数处罚”，例如，被监管部门处以3倍以上业务收入罚款或2次以上罚款的，可视为符合“较大数额罚款”标准。这样的</w:t>
      </w:r>
      <w:proofErr w:type="gramStart"/>
      <w:r>
        <w:rPr>
          <w:rFonts w:ascii="仿宋" w:eastAsia="仿宋" w:hAnsi="仿宋" w:cs="宋体" w:hint="eastAsia"/>
          <w:sz w:val="32"/>
          <w:szCs w:val="32"/>
        </w:rPr>
        <w:t>设定既</w:t>
      </w:r>
      <w:proofErr w:type="gramEnd"/>
      <w:r>
        <w:rPr>
          <w:rFonts w:ascii="仿宋" w:eastAsia="仿宋" w:hAnsi="仿宋" w:cs="宋体" w:hint="eastAsia"/>
          <w:sz w:val="32"/>
          <w:szCs w:val="32"/>
        </w:rPr>
        <w:t>考虑到行业特点，也体现了“先教后</w:t>
      </w:r>
      <w:proofErr w:type="gramStart"/>
      <w:r>
        <w:rPr>
          <w:rFonts w:ascii="仿宋" w:eastAsia="仿宋" w:hAnsi="仿宋" w:cs="宋体" w:hint="eastAsia"/>
          <w:sz w:val="32"/>
          <w:szCs w:val="32"/>
        </w:rPr>
        <w:t>诛</w:t>
      </w:r>
      <w:proofErr w:type="gramEnd"/>
      <w:r>
        <w:rPr>
          <w:rFonts w:ascii="仿宋" w:eastAsia="仿宋" w:hAnsi="仿宋" w:cs="宋体" w:hint="eastAsia"/>
          <w:sz w:val="32"/>
          <w:szCs w:val="32"/>
        </w:rPr>
        <w:t>”的包容性，避免行业产生动辄得咎的顾虑。三是在立法未完善的情况下，执法应尽可能审慎和精细。如对底稿瑕疵、单个程序不完善的情形，尽量采用约谈、责令改正等措施，尽量避免触发“较大数额”的罚款，以减少对事务所后续展业的不利影响；对恶意参与造假者，自当严惩不贷。</w:t>
      </w:r>
    </w:p>
    <w:p w14:paraId="22262691" w14:textId="77777777" w:rsidR="00203670" w:rsidRDefault="003E3946">
      <w:pPr>
        <w:spacing w:line="560" w:lineRule="exact"/>
        <w:ind w:firstLineChars="200" w:firstLine="640"/>
        <w:outlineLvl w:val="1"/>
        <w:rPr>
          <w:rFonts w:ascii="楷体" w:eastAsia="楷体" w:hAnsi="楷体" w:cs="楷体" w:hint="eastAsia"/>
          <w:bCs/>
          <w:sz w:val="32"/>
          <w:szCs w:val="32"/>
        </w:rPr>
      </w:pPr>
      <w:bookmarkStart w:id="48" w:name="_Toc29815"/>
      <w:r>
        <w:rPr>
          <w:rFonts w:ascii="楷体" w:eastAsia="楷体" w:hAnsi="楷体" w:cs="楷体" w:hint="eastAsia"/>
          <w:bCs/>
          <w:sz w:val="32"/>
          <w:szCs w:val="32"/>
        </w:rPr>
        <w:t>（四）完善资格罚的适用机制</w:t>
      </w:r>
      <w:bookmarkEnd w:id="48"/>
    </w:p>
    <w:p w14:paraId="2CA2503C"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资格罚是最具制裁效力的行政处罚手段，而且其引发的市场连锁效应往往远超单个事务所本身，可能导致客户企业、资本市场运行乃至投资者信心受到波及。基于资格罚的严厉性、外部性，监管部门应审慎适用资格罚，并进一步完善资格罚的适用机制。</w:t>
      </w:r>
    </w:p>
    <w:p w14:paraId="69ECD32E" w14:textId="77777777" w:rsidR="00203670" w:rsidRDefault="003E3946">
      <w:pPr>
        <w:spacing w:line="560" w:lineRule="exact"/>
        <w:ind w:firstLineChars="200" w:firstLine="640"/>
        <w:outlineLvl w:val="2"/>
        <w:rPr>
          <w:rFonts w:ascii="仿宋" w:eastAsia="仿宋" w:hAnsi="仿宋" w:cs="楷体" w:hint="eastAsia"/>
          <w:sz w:val="32"/>
          <w:szCs w:val="32"/>
        </w:rPr>
      </w:pPr>
      <w:bookmarkStart w:id="49" w:name="_Toc9904"/>
      <w:r>
        <w:rPr>
          <w:rFonts w:ascii="仿宋" w:eastAsia="仿宋" w:hAnsi="仿宋" w:cs="楷体" w:hint="eastAsia"/>
          <w:sz w:val="32"/>
          <w:szCs w:val="32"/>
        </w:rPr>
        <w:t>1.设定裁量基准与适用标准</w:t>
      </w:r>
      <w:bookmarkEnd w:id="49"/>
    </w:p>
    <w:p w14:paraId="3D6E6D31"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资格罚应建立明确的适用标准和裁量基准，确保处罚力度与违规行为的性质、情节及社会危害程度相匹配，避免随意适用。</w:t>
      </w:r>
    </w:p>
    <w:p w14:paraId="505FD6B4" w14:textId="31431F7B"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一是明确适用范围。资格罚应主要适用于严重失职、反复违规或重大舞弊未被发现的情形，而不能泛化为应对所有审计瑕疵的“通用手段”。对“屡教不改”或“重大危害”</w:t>
      </w:r>
      <w:r>
        <w:rPr>
          <w:rFonts w:ascii="仿宋" w:eastAsia="仿宋" w:hAnsi="仿宋" w:cs="宋体" w:hint="eastAsia"/>
          <w:sz w:val="32"/>
          <w:szCs w:val="32"/>
        </w:rPr>
        <w:lastRenderedPageBreak/>
        <w:t>的极端情形适用资格罚是妥当的，如某事务所因长期存在质量</w:t>
      </w:r>
      <w:r w:rsidR="00D87031">
        <w:rPr>
          <w:rFonts w:ascii="仿宋" w:eastAsia="仿宋" w:hAnsi="仿宋" w:cs="宋体" w:hint="eastAsia"/>
          <w:sz w:val="32"/>
          <w:szCs w:val="32"/>
        </w:rPr>
        <w:t>管理</w:t>
      </w:r>
      <w:r>
        <w:rPr>
          <w:rFonts w:ascii="仿宋" w:eastAsia="仿宋" w:hAnsi="仿宋" w:cs="宋体" w:hint="eastAsia"/>
          <w:sz w:val="32"/>
          <w:szCs w:val="32"/>
        </w:rPr>
        <w:t>缺陷、且在接受监管部门警示后仍未有效整改，最终被处以暂停执业资格的处罚。但对于一般性执业瑕疵，例如个别审计证据不足、程序瑕疵等，更适合采取罚款、警告或责令整改等替代措施。</w:t>
      </w:r>
    </w:p>
    <w:p w14:paraId="07BC926F"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二是量化裁量因素。在裁量基准中，应设定与违法行为严重性、业务规模、违规频次、整改态度及潜在市场风险挂钩的分级指标。第一，违法行为严重性，区分是否涉及恶意串通舞弊或重大财务造假。第二，事务所业务规模，大型事务所承担的市场责任更高，应考虑处罚外溢风险。第三，违规频次，是否存在连续、重复性的执业问题。第四，整改态度，是否主动披露、积极补救。第五，潜在市场风险，处罚是否会造成多家上市公司IPO延误</w:t>
      </w:r>
      <w:proofErr w:type="gramStart"/>
      <w:r>
        <w:rPr>
          <w:rFonts w:ascii="仿宋" w:eastAsia="仿宋" w:hAnsi="仿宋" w:cs="宋体" w:hint="eastAsia"/>
          <w:sz w:val="32"/>
          <w:szCs w:val="32"/>
        </w:rPr>
        <w:t>或财报披露</w:t>
      </w:r>
      <w:proofErr w:type="gramEnd"/>
      <w:r>
        <w:rPr>
          <w:rFonts w:ascii="仿宋" w:eastAsia="仿宋" w:hAnsi="仿宋" w:cs="宋体" w:hint="eastAsia"/>
          <w:sz w:val="32"/>
          <w:szCs w:val="32"/>
        </w:rPr>
        <w:t>中断。通过量化</w:t>
      </w:r>
      <w:proofErr w:type="gramStart"/>
      <w:r>
        <w:rPr>
          <w:rFonts w:ascii="仿宋" w:eastAsia="仿宋" w:hAnsi="仿宋" w:cs="宋体" w:hint="eastAsia"/>
          <w:sz w:val="32"/>
          <w:szCs w:val="32"/>
        </w:rPr>
        <w:t>考量</w:t>
      </w:r>
      <w:proofErr w:type="gramEnd"/>
      <w:r>
        <w:rPr>
          <w:rFonts w:ascii="仿宋" w:eastAsia="仿宋" w:hAnsi="仿宋" w:cs="宋体" w:hint="eastAsia"/>
          <w:sz w:val="32"/>
          <w:szCs w:val="32"/>
        </w:rPr>
        <w:t>，可避免</w:t>
      </w:r>
      <w:proofErr w:type="gramStart"/>
      <w:r>
        <w:rPr>
          <w:rFonts w:ascii="仿宋" w:eastAsia="仿宋" w:hAnsi="仿宋" w:cs="宋体" w:hint="eastAsia"/>
          <w:sz w:val="32"/>
          <w:szCs w:val="32"/>
        </w:rPr>
        <w:t>资格罚因主观</w:t>
      </w:r>
      <w:proofErr w:type="gramEnd"/>
      <w:r>
        <w:rPr>
          <w:rFonts w:ascii="仿宋" w:eastAsia="仿宋" w:hAnsi="仿宋" w:cs="宋体" w:hint="eastAsia"/>
          <w:sz w:val="32"/>
          <w:szCs w:val="32"/>
        </w:rPr>
        <w:t>裁量不当而引发执法争议。</w:t>
      </w:r>
      <w:r>
        <w:rPr>
          <w:rFonts w:ascii="仿宋" w:eastAsia="仿宋" w:hAnsi="仿宋" w:cs="宋体" w:hint="eastAsia"/>
          <w:sz w:val="32"/>
          <w:szCs w:val="32"/>
          <w:vertAlign w:val="superscript"/>
        </w:rPr>
        <w:footnoteReference w:id="30"/>
      </w:r>
    </w:p>
    <w:p w14:paraId="684A5409"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三是差异化处理。在当前的审计监管实践中，监管机构是以单次或在一定期间内连续审计失败的次数为依据，对事务所</w:t>
      </w:r>
      <w:proofErr w:type="gramStart"/>
      <w:r>
        <w:rPr>
          <w:rFonts w:ascii="仿宋" w:eastAsia="仿宋" w:hAnsi="仿宋" w:cs="宋体" w:hint="eastAsia"/>
          <w:sz w:val="32"/>
          <w:szCs w:val="32"/>
        </w:rPr>
        <w:t>作出</w:t>
      </w:r>
      <w:proofErr w:type="gramEnd"/>
      <w:r>
        <w:rPr>
          <w:rFonts w:ascii="仿宋" w:eastAsia="仿宋" w:hAnsi="仿宋" w:cs="宋体" w:hint="eastAsia"/>
          <w:sz w:val="32"/>
          <w:szCs w:val="32"/>
        </w:rPr>
        <w:t>暂停从事证券业务的处罚。这种做法没有充分考虑审计失败的概率问题。大型事务所服务的上市公司数量众多、业务覆盖面广，即使其内部管理体系相对健全、整体执业质量相对较高，也不可能完全避免因客户舞弊而导致的个别审计失败。如果不考虑事务所业务规模，大所和中小所采用同样的数量标准，显然对大所不利，因为大所客户数量多。另外，采用同样的标准会导致大所为规避潜在处罚风险而</w:t>
      </w:r>
      <w:proofErr w:type="gramStart"/>
      <w:r>
        <w:rPr>
          <w:rFonts w:ascii="仿宋" w:eastAsia="仿宋" w:hAnsi="仿宋" w:cs="宋体" w:hint="eastAsia"/>
          <w:sz w:val="32"/>
          <w:szCs w:val="32"/>
        </w:rPr>
        <w:t>回避</w:t>
      </w:r>
      <w:r>
        <w:rPr>
          <w:rFonts w:ascii="仿宋" w:eastAsia="仿宋" w:hAnsi="仿宋" w:cs="宋体" w:hint="eastAsia"/>
          <w:sz w:val="32"/>
          <w:szCs w:val="32"/>
        </w:rPr>
        <w:lastRenderedPageBreak/>
        <w:t>高</w:t>
      </w:r>
      <w:proofErr w:type="gramEnd"/>
      <w:r>
        <w:rPr>
          <w:rFonts w:ascii="仿宋" w:eastAsia="仿宋" w:hAnsi="仿宋" w:cs="宋体" w:hint="eastAsia"/>
          <w:sz w:val="32"/>
          <w:szCs w:val="32"/>
        </w:rPr>
        <w:t>风险客户，最终导致此类高风险客户流向审计应对能力相对较弱的中小所。长远来看,这不利于审计市场的资源优化配置和会计信息质量的提升。</w:t>
      </w:r>
      <w:r>
        <w:rPr>
          <w:rFonts w:ascii="仿宋" w:eastAsia="仿宋" w:hAnsi="仿宋" w:cs="宋体" w:hint="eastAsia"/>
          <w:sz w:val="32"/>
          <w:szCs w:val="32"/>
          <w:vertAlign w:val="superscript"/>
        </w:rPr>
        <w:footnoteReference w:id="31"/>
      </w:r>
    </w:p>
    <w:p w14:paraId="0686C174" w14:textId="77777777" w:rsidR="00203670" w:rsidRDefault="003E3946">
      <w:pPr>
        <w:spacing w:line="560" w:lineRule="exact"/>
        <w:ind w:firstLineChars="200" w:firstLine="640"/>
        <w:outlineLvl w:val="2"/>
        <w:rPr>
          <w:rFonts w:ascii="仿宋" w:eastAsia="仿宋" w:hAnsi="仿宋" w:cs="楷体" w:hint="eastAsia"/>
          <w:sz w:val="32"/>
          <w:szCs w:val="32"/>
        </w:rPr>
      </w:pPr>
      <w:bookmarkStart w:id="50" w:name="_Toc10888"/>
      <w:r>
        <w:rPr>
          <w:rFonts w:ascii="仿宋" w:eastAsia="仿宋" w:hAnsi="仿宋" w:cs="楷体" w:hint="eastAsia"/>
          <w:sz w:val="32"/>
          <w:szCs w:val="32"/>
        </w:rPr>
        <w:t>2.建立处罚前的评估机制</w:t>
      </w:r>
      <w:bookmarkEnd w:id="50"/>
    </w:p>
    <w:p w14:paraId="7AB82CFE"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在实施资格罚前，应当建立科学的风险评估机制，以全面</w:t>
      </w:r>
      <w:proofErr w:type="gramStart"/>
      <w:r>
        <w:rPr>
          <w:rFonts w:ascii="仿宋" w:eastAsia="仿宋" w:hAnsi="仿宋" w:cs="宋体" w:hint="eastAsia"/>
          <w:sz w:val="32"/>
          <w:szCs w:val="32"/>
        </w:rPr>
        <w:t>考量</w:t>
      </w:r>
      <w:proofErr w:type="gramEnd"/>
      <w:r>
        <w:rPr>
          <w:rFonts w:ascii="仿宋" w:eastAsia="仿宋" w:hAnsi="仿宋" w:cs="宋体" w:hint="eastAsia"/>
          <w:sz w:val="32"/>
          <w:szCs w:val="32"/>
        </w:rPr>
        <w:t>处罚后果的可控性。</w:t>
      </w:r>
    </w:p>
    <w:p w14:paraId="06A312C6"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一是形成风险评估报告。监管机构在</w:t>
      </w:r>
      <w:proofErr w:type="gramStart"/>
      <w:r>
        <w:rPr>
          <w:rFonts w:ascii="仿宋" w:eastAsia="仿宋" w:hAnsi="仿宋" w:cs="宋体" w:hint="eastAsia"/>
          <w:sz w:val="32"/>
          <w:szCs w:val="32"/>
        </w:rPr>
        <w:t>作出</w:t>
      </w:r>
      <w:proofErr w:type="gramEnd"/>
      <w:r>
        <w:rPr>
          <w:rFonts w:ascii="仿宋" w:eastAsia="仿宋" w:hAnsi="仿宋" w:cs="宋体" w:hint="eastAsia"/>
          <w:sz w:val="32"/>
          <w:szCs w:val="32"/>
        </w:rPr>
        <w:t>处罚决定前，应对事务所的经营状况、在审项目、关键客户及员工结构进行全面评估，形成书面风险分析报告。若在处罚前有充分评估，市场冲击或许可部分缓解。</w:t>
      </w:r>
    </w:p>
    <w:p w14:paraId="3913EB34"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二是关联企业影响分析。资格</w:t>
      </w:r>
      <w:proofErr w:type="gramStart"/>
      <w:r>
        <w:rPr>
          <w:rFonts w:ascii="仿宋" w:eastAsia="仿宋" w:hAnsi="仿宋" w:cs="宋体" w:hint="eastAsia"/>
          <w:sz w:val="32"/>
          <w:szCs w:val="32"/>
        </w:rPr>
        <w:t>罚不仅</w:t>
      </w:r>
      <w:proofErr w:type="gramEnd"/>
      <w:r>
        <w:rPr>
          <w:rFonts w:ascii="仿宋" w:eastAsia="仿宋" w:hAnsi="仿宋" w:cs="宋体" w:hint="eastAsia"/>
          <w:sz w:val="32"/>
          <w:szCs w:val="32"/>
        </w:rPr>
        <w:t>影响事务所，还会对其客户及上下游企业带来间接冲击。处罚决定前应开展“关联企业影响分析”，预测资格</w:t>
      </w:r>
      <w:proofErr w:type="gramStart"/>
      <w:r>
        <w:rPr>
          <w:rFonts w:ascii="仿宋" w:eastAsia="仿宋" w:hAnsi="仿宋" w:cs="宋体" w:hint="eastAsia"/>
          <w:sz w:val="32"/>
          <w:szCs w:val="32"/>
        </w:rPr>
        <w:t>罚可能</w:t>
      </w:r>
      <w:proofErr w:type="gramEnd"/>
      <w:r>
        <w:rPr>
          <w:rFonts w:ascii="仿宋" w:eastAsia="仿宋" w:hAnsi="仿宋" w:cs="宋体" w:hint="eastAsia"/>
          <w:sz w:val="32"/>
          <w:szCs w:val="32"/>
        </w:rPr>
        <w:t>带来的客户违约成本、IPO项目延误及融资受阻等次生效应。</w:t>
      </w:r>
    </w:p>
    <w:p w14:paraId="4C330959"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三是缓冲与过渡安排。在风险评估的基础上，监管机构可设计缓冲期或过渡措施。比如允许事务所在暂停期限内完成已承接的关键审计项目，避免“半途而废”；或是临时指定替代事务所接管相关项目，以确保客户企业不因事务所资格罚而陷入财务披露困境。这样，既能维持处罚的震慑效果，又能最大限度地降低对市场和投资者的负面影响。</w:t>
      </w:r>
    </w:p>
    <w:p w14:paraId="5CFA84E8" w14:textId="77777777" w:rsidR="00203670" w:rsidRDefault="003E3946">
      <w:pPr>
        <w:spacing w:line="560" w:lineRule="exact"/>
        <w:ind w:firstLineChars="200" w:firstLine="640"/>
        <w:outlineLvl w:val="2"/>
        <w:rPr>
          <w:rFonts w:ascii="仿宋" w:eastAsia="仿宋" w:hAnsi="仿宋" w:cs="楷体" w:hint="eastAsia"/>
          <w:sz w:val="32"/>
          <w:szCs w:val="32"/>
        </w:rPr>
      </w:pPr>
      <w:bookmarkStart w:id="51" w:name="_Toc19048"/>
      <w:r>
        <w:rPr>
          <w:rFonts w:ascii="仿宋" w:eastAsia="仿宋" w:hAnsi="仿宋" w:cs="楷体" w:hint="eastAsia"/>
          <w:sz w:val="32"/>
          <w:szCs w:val="32"/>
        </w:rPr>
        <w:t>3.负责人集体讨论机制</w:t>
      </w:r>
      <w:bookmarkEnd w:id="51"/>
    </w:p>
    <w:p w14:paraId="11C98F80"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资格罚的决定应引入监管部门的集体讨论机制，强化决策的科学性与透明度。</w:t>
      </w:r>
    </w:p>
    <w:p w14:paraId="7C92E575" w14:textId="77777777" w:rsidR="00203670"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lastRenderedPageBreak/>
        <w:t>一是内部讨论。在处罚决定前，监管部门可组织跨区域专家、法律工作者与审计专业人员对案件事实、执业风险及潜在后果进行集体讨论，形成多方意见。建议监管部门在对事务所</w:t>
      </w:r>
      <w:proofErr w:type="gramStart"/>
      <w:r>
        <w:rPr>
          <w:rFonts w:ascii="仿宋" w:eastAsia="仿宋" w:hAnsi="仿宋" w:cs="宋体" w:hint="eastAsia"/>
          <w:sz w:val="32"/>
          <w:szCs w:val="32"/>
        </w:rPr>
        <w:t>作出</w:t>
      </w:r>
      <w:proofErr w:type="gramEnd"/>
      <w:r>
        <w:rPr>
          <w:rFonts w:ascii="仿宋" w:eastAsia="仿宋" w:hAnsi="仿宋" w:cs="宋体" w:hint="eastAsia"/>
          <w:sz w:val="32"/>
          <w:szCs w:val="32"/>
        </w:rPr>
        <w:t>暂停从事证券业务的处罚时，将审计失败发生的概率作为</w:t>
      </w:r>
      <w:proofErr w:type="gramStart"/>
      <w:r>
        <w:rPr>
          <w:rFonts w:ascii="仿宋" w:eastAsia="仿宋" w:hAnsi="仿宋" w:cs="宋体" w:hint="eastAsia"/>
          <w:sz w:val="32"/>
          <w:szCs w:val="32"/>
        </w:rPr>
        <w:t>考量</w:t>
      </w:r>
      <w:proofErr w:type="gramEnd"/>
      <w:r>
        <w:rPr>
          <w:rFonts w:ascii="仿宋" w:eastAsia="仿宋" w:hAnsi="仿宋" w:cs="宋体" w:hint="eastAsia"/>
          <w:sz w:val="32"/>
          <w:szCs w:val="32"/>
        </w:rPr>
        <w:t>因素之一。通过将审计失败发生的概率纳入资格罚的决策框架，监管部门能更精准地识别真正存在系统性风险、需要通过暂停从事证券业务进行处罚的事务所。</w:t>
      </w:r>
    </w:p>
    <w:p w14:paraId="2A79B00B" w14:textId="537BF413" w:rsidR="00203670" w:rsidRPr="00D87031" w:rsidRDefault="003E3946">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二是给予事务所申辩与整改机会。在处罚前，允许事务所提交整改计划和申辩意见，充分考虑其整改能力与内部治理改进的诚意。事务所若能在处罚前提交系统性整改方案，或许可通过分阶段监督替代直接的资格罚。可借鉴美国PCAOB的特色监管方法，即对检查发现的质量</w:t>
      </w:r>
      <w:r w:rsidR="00D87031">
        <w:rPr>
          <w:rFonts w:ascii="仿宋" w:eastAsia="仿宋" w:hAnsi="仿宋" w:cs="宋体" w:hint="eastAsia"/>
          <w:sz w:val="32"/>
          <w:szCs w:val="32"/>
        </w:rPr>
        <w:t>管理</w:t>
      </w:r>
      <w:r>
        <w:rPr>
          <w:rFonts w:ascii="仿宋" w:eastAsia="仿宋" w:hAnsi="仿宋" w:cs="宋体" w:hint="eastAsia"/>
          <w:sz w:val="32"/>
          <w:szCs w:val="32"/>
        </w:rPr>
        <w:t>系统缺陷给予事务所12个月的整改期。在整改期内，事务所平均会提交2—3次回复草案，直至PCAOB对每项质量</w:t>
      </w:r>
      <w:r w:rsidR="00D87031">
        <w:rPr>
          <w:rFonts w:ascii="仿宋" w:eastAsia="仿宋" w:hAnsi="仿宋" w:cs="宋体" w:hint="eastAsia"/>
          <w:sz w:val="32"/>
          <w:szCs w:val="32"/>
        </w:rPr>
        <w:t>管理</w:t>
      </w:r>
      <w:r>
        <w:rPr>
          <w:rFonts w:ascii="仿宋" w:eastAsia="仿宋" w:hAnsi="仿宋" w:cs="宋体" w:hint="eastAsia"/>
          <w:sz w:val="32"/>
          <w:szCs w:val="32"/>
        </w:rPr>
        <w:t>缺陷的整改情况满意。</w:t>
      </w:r>
      <w:r>
        <w:rPr>
          <w:rFonts w:ascii="仿宋" w:eastAsia="仿宋" w:hAnsi="仿宋" w:cs="宋体" w:hint="eastAsia"/>
          <w:sz w:val="32"/>
          <w:szCs w:val="32"/>
          <w:vertAlign w:val="superscript"/>
        </w:rPr>
        <w:footnoteReference w:id="32"/>
      </w:r>
    </w:p>
    <w:p w14:paraId="131760D6" w14:textId="35CCE652" w:rsidR="00203670" w:rsidRDefault="003E3946" w:rsidP="00771054">
      <w:pPr>
        <w:spacing w:line="560" w:lineRule="exact"/>
        <w:ind w:firstLineChars="200" w:firstLine="640"/>
        <w:rPr>
          <w:rFonts w:ascii="仿宋" w:eastAsia="仿宋" w:hAnsi="仿宋" w:cs="黑体" w:hint="eastAsia"/>
          <w:sz w:val="32"/>
          <w:szCs w:val="32"/>
        </w:rPr>
      </w:pPr>
      <w:r>
        <w:rPr>
          <w:rFonts w:ascii="仿宋" w:eastAsia="仿宋" w:hAnsi="仿宋" w:cs="宋体" w:hint="eastAsia"/>
          <w:sz w:val="32"/>
          <w:szCs w:val="32"/>
        </w:rPr>
        <w:t>三是决策记录公开透明。集体讨论的过程、裁</w:t>
      </w:r>
      <w:proofErr w:type="gramStart"/>
      <w:r>
        <w:rPr>
          <w:rFonts w:ascii="仿宋" w:eastAsia="仿宋" w:hAnsi="仿宋" w:cs="宋体" w:hint="eastAsia"/>
          <w:sz w:val="32"/>
          <w:szCs w:val="32"/>
        </w:rPr>
        <w:t>量依据</w:t>
      </w:r>
      <w:proofErr w:type="gramEnd"/>
      <w:r>
        <w:rPr>
          <w:rFonts w:ascii="仿宋" w:eastAsia="仿宋" w:hAnsi="仿宋" w:cs="宋体" w:hint="eastAsia"/>
          <w:sz w:val="32"/>
          <w:szCs w:val="32"/>
        </w:rPr>
        <w:t>及风险评估结果应形成完整的书面记录，并在必要时向社会公开。这不仅有助于处罚的可追溯性，也能增强公众对监管公正性的信任。</w:t>
      </w:r>
    </w:p>
    <w:sectPr w:rsidR="00203670">
      <w:footerReference w:type="default" r:id="rId1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6DF9" w14:textId="77777777" w:rsidR="00554E7A" w:rsidRDefault="00554E7A">
      <w:r>
        <w:separator/>
      </w:r>
    </w:p>
  </w:endnote>
  <w:endnote w:type="continuationSeparator" w:id="0">
    <w:p w14:paraId="1DBFE7E7" w14:textId="77777777" w:rsidR="00554E7A" w:rsidRDefault="0055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774C" w14:textId="77777777" w:rsidR="00870118" w:rsidRDefault="0087011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E4E0" w14:textId="77777777" w:rsidR="00203670" w:rsidRDefault="003E3946">
    <w:pPr>
      <w:pStyle w:val="a9"/>
    </w:pPr>
    <w:r>
      <w:rPr>
        <w:noProof/>
      </w:rPr>
      <mc:AlternateContent>
        <mc:Choice Requires="wps">
          <w:drawing>
            <wp:anchor distT="0" distB="0" distL="114300" distR="114300" simplePos="0" relativeHeight="251659264" behindDoc="0" locked="0" layoutInCell="1" allowOverlap="1" wp14:anchorId="1DF21112" wp14:editId="6A85B25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90D29" w14:textId="77777777" w:rsidR="00203670" w:rsidRDefault="003E3946">
                          <w:pPr>
                            <w:pStyle w:val="a9"/>
                          </w:pPr>
                          <w:r>
                            <w:fldChar w:fldCharType="begin"/>
                          </w:r>
                          <w:r>
                            <w:instrText xml:space="preserve"> PAGE  \* MERGEFORMAT </w:instrText>
                          </w:r>
                          <w:r>
                            <w:fldChar w:fldCharType="separate"/>
                          </w:r>
                          <w:r w:rsidR="008744C8">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F21112" id="_x0000_t202" coordsize="21600,21600" o:spt="202" path="m,l,21600r21600,l21600,xe">
              <v:stroke joinstyle="miter"/>
              <v:path gradientshapeok="t" o:connecttype="rect"/>
            </v:shapetype>
            <v:shape id="文本框 2"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3FF90D29" w14:textId="77777777" w:rsidR="00203670" w:rsidRDefault="003E3946">
                    <w:pPr>
                      <w:pStyle w:val="a6"/>
                    </w:pPr>
                    <w:r>
                      <w:fldChar w:fldCharType="begin"/>
                    </w:r>
                    <w:r>
                      <w:instrText xml:space="preserve"> PAGE  \* MERGEFORMAT </w:instrText>
                    </w:r>
                    <w:r>
                      <w:fldChar w:fldCharType="separate"/>
                    </w:r>
                    <w:r w:rsidR="008744C8">
                      <w:rPr>
                        <w:noProof/>
                      </w:rPr>
                      <w:t>3</w:t>
                    </w:r>
                    <w:r>
                      <w:fldChar w:fldCharType="end"/>
                    </w:r>
                  </w:p>
                </w:txbxContent>
              </v:textbox>
              <w10:wrap anchorx="margin"/>
            </v:shape>
          </w:pict>
        </mc:Fallback>
      </mc:AlternateContent>
    </w: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4F6E" w14:textId="77777777" w:rsidR="00870118" w:rsidRDefault="00870118">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43A" w14:textId="77777777" w:rsidR="00203670" w:rsidRDefault="003E3946">
    <w:pPr>
      <w:pStyle w:val="a9"/>
    </w:pPr>
    <w:r>
      <w:rPr>
        <w:noProof/>
      </w:rPr>
      <mc:AlternateContent>
        <mc:Choice Requires="wps">
          <w:drawing>
            <wp:anchor distT="0" distB="0" distL="114300" distR="114300" simplePos="0" relativeHeight="251661312" behindDoc="0" locked="0" layoutInCell="1" allowOverlap="1" wp14:anchorId="26175C12" wp14:editId="065DFE5F">
              <wp:simplePos x="0" y="0"/>
              <wp:positionH relativeFrom="margin">
                <wp:posOffset>2571750</wp:posOffset>
              </wp:positionH>
              <wp:positionV relativeFrom="paragraph">
                <wp:posOffset>2540</wp:posOffset>
              </wp:positionV>
              <wp:extent cx="1181100" cy="371475"/>
              <wp:effectExtent l="0" t="0" r="0" b="9525"/>
              <wp:wrapNone/>
              <wp:docPr id="9" name="文本框 9"/>
              <wp:cNvGraphicFramePr/>
              <a:graphic xmlns:a="http://schemas.openxmlformats.org/drawingml/2006/main">
                <a:graphicData uri="http://schemas.microsoft.com/office/word/2010/wordprocessingShape">
                  <wps:wsp>
                    <wps:cNvSpPr txBox="1"/>
                    <wps:spPr>
                      <a:xfrm>
                        <a:off x="0" y="0"/>
                        <a:ext cx="1181100" cy="371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7F55A" w14:textId="77777777" w:rsidR="00203670" w:rsidRDefault="003E3946">
                          <w:pPr>
                            <w:pStyle w:val="a9"/>
                          </w:pPr>
                          <w:r>
                            <w:fldChar w:fldCharType="begin"/>
                          </w:r>
                          <w:r>
                            <w:instrText xml:space="preserve"> PAGE  \* MERGEFORMAT </w:instrText>
                          </w:r>
                          <w:r>
                            <w:fldChar w:fldCharType="separate"/>
                          </w:r>
                          <w:r w:rsidR="008744C8">
                            <w:rPr>
                              <w:noProof/>
                            </w:rPr>
                            <w:t>17</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26175C12" id="_x0000_t202" coordsize="21600,21600" o:spt="202" path="m,l,21600r21600,l21600,xe">
              <v:stroke joinstyle="miter"/>
              <v:path gradientshapeok="t" o:connecttype="rect"/>
            </v:shapetype>
            <v:shape id="文本框 9" o:spid="_x0000_s1029" type="#_x0000_t202" style="position:absolute;margin-left:202.5pt;margin-top:.2pt;width:93pt;height:2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" filled="f" stroked="f" strokeweight=".5pt">
              <v:textbox inset="0,0,0,0">
                <w:txbxContent>
                  <w:p w14:paraId="0F37F55A" w14:textId="77777777" w:rsidR="00203670" w:rsidRDefault="003E3946">
                    <w:pPr>
                      <w:pStyle w:val="a9"/>
                    </w:pPr>
                    <w:r>
                      <w:fldChar w:fldCharType="begin"/>
                    </w:r>
                    <w:r>
                      <w:instrText xml:space="preserve"> PAGE  \* MERGEFORMAT </w:instrText>
                    </w:r>
                    <w:r>
                      <w:fldChar w:fldCharType="separate"/>
                    </w:r>
                    <w:r w:rsidR="008744C8">
                      <w:rPr>
                        <w:noProof/>
                      </w:rPr>
                      <w:t>17</w:t>
                    </w:r>
                    <w: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658A1" w14:textId="77777777" w:rsidR="00554E7A" w:rsidRDefault="00554E7A">
      <w:r>
        <w:separator/>
      </w:r>
    </w:p>
  </w:footnote>
  <w:footnote w:type="continuationSeparator" w:id="0">
    <w:p w14:paraId="138C597D" w14:textId="77777777" w:rsidR="00554E7A" w:rsidRDefault="00554E7A">
      <w:r>
        <w:continuationSeparator/>
      </w:r>
    </w:p>
  </w:footnote>
  <w:footnote w:id="1">
    <w:p w14:paraId="048B2F70" w14:textId="77777777" w:rsidR="00203670" w:rsidRDefault="003E3946">
      <w:pPr>
        <w:snapToGrid w:val="0"/>
        <w:jc w:val="left"/>
        <w:rPr>
          <w:rFonts w:ascii="Calibri" w:eastAsia="宋体" w:hAnsi="Calibri" w:cs="Times New Roman"/>
          <w:sz w:val="18"/>
        </w:rPr>
      </w:pPr>
      <w:r>
        <w:rPr>
          <w:rFonts w:ascii="Calibri" w:eastAsia="宋体" w:hAnsi="Calibri" w:cs="Times New Roman"/>
          <w:vertAlign w:val="superscript"/>
        </w:rPr>
        <w:footnoteRef/>
      </w:r>
      <w:r>
        <w:rPr>
          <w:rFonts w:ascii="Calibri" w:eastAsia="宋体" w:hAnsi="Calibri" w:cs="Times New Roman"/>
          <w:sz w:val="18"/>
        </w:rPr>
        <w:t xml:space="preserve"> </w:t>
      </w:r>
      <w:r>
        <w:rPr>
          <w:rStyle w:val="ac"/>
          <w:rFonts w:hint="eastAsia"/>
        </w:rPr>
        <w:t>广东省广州市中级人民法院民事判决书，（</w:t>
      </w:r>
      <w:r>
        <w:rPr>
          <w:rStyle w:val="ac"/>
          <w:rFonts w:hint="eastAsia"/>
        </w:rPr>
        <w:t>2020</w:t>
      </w:r>
      <w:r>
        <w:rPr>
          <w:rStyle w:val="ac"/>
          <w:rFonts w:hint="eastAsia"/>
        </w:rPr>
        <w:t>）粤</w:t>
      </w:r>
      <w:r>
        <w:rPr>
          <w:rStyle w:val="ac"/>
          <w:rFonts w:hint="eastAsia"/>
        </w:rPr>
        <w:t>01</w:t>
      </w:r>
      <w:r>
        <w:rPr>
          <w:rStyle w:val="ac"/>
          <w:rFonts w:hint="eastAsia"/>
        </w:rPr>
        <w:t>民初</w:t>
      </w:r>
      <w:r>
        <w:rPr>
          <w:rStyle w:val="ac"/>
          <w:rFonts w:hint="eastAsia"/>
        </w:rPr>
        <w:t>2171</w:t>
      </w:r>
      <w:r>
        <w:rPr>
          <w:rStyle w:val="ac"/>
          <w:rFonts w:hint="eastAsia"/>
        </w:rPr>
        <w:t>号。</w:t>
      </w:r>
    </w:p>
  </w:footnote>
  <w:footnote w:id="2">
    <w:p w14:paraId="6AA79934" w14:textId="77777777" w:rsidR="00203670" w:rsidRDefault="003E3946">
      <w:pPr>
        <w:snapToGrid w:val="0"/>
        <w:jc w:val="left"/>
        <w:rPr>
          <w:rFonts w:ascii="Calibri" w:eastAsia="宋体" w:hAnsi="Calibri" w:cs="Times New Roman"/>
          <w:sz w:val="18"/>
        </w:rPr>
      </w:pPr>
      <w:r>
        <w:rPr>
          <w:rFonts w:ascii="Calibri" w:eastAsia="宋体" w:hAnsi="Calibri" w:cs="Times New Roman"/>
          <w:vertAlign w:val="superscript"/>
        </w:rPr>
        <w:footnoteRef/>
      </w:r>
      <w:r>
        <w:rPr>
          <w:rFonts w:ascii="Calibri" w:eastAsia="宋体" w:hAnsi="Calibri" w:cs="Times New Roman"/>
          <w:sz w:val="18"/>
        </w:rPr>
        <w:t xml:space="preserve"> </w:t>
      </w:r>
      <w:r>
        <w:rPr>
          <w:rFonts w:ascii="Calibri" w:eastAsia="宋体" w:hAnsi="Calibri" w:cs="Times New Roman" w:hint="eastAsia"/>
          <w:sz w:val="18"/>
        </w:rPr>
        <w:t>上海市高级人民法院民事判决书，（</w:t>
      </w:r>
      <w:r>
        <w:rPr>
          <w:rFonts w:ascii="Calibri" w:eastAsia="宋体" w:hAnsi="Calibri" w:cs="Times New Roman" w:hint="eastAsia"/>
          <w:sz w:val="18"/>
        </w:rPr>
        <w:t>2021</w:t>
      </w:r>
      <w:r>
        <w:rPr>
          <w:rFonts w:ascii="Calibri" w:eastAsia="宋体" w:hAnsi="Calibri" w:cs="Times New Roman" w:hint="eastAsia"/>
          <w:sz w:val="18"/>
        </w:rPr>
        <w:t>）</w:t>
      </w:r>
      <w:r>
        <w:rPr>
          <w:rFonts w:ascii="Calibri" w:eastAsia="宋体" w:hAnsi="Calibri" w:cs="Times New Roman" w:hint="eastAsia"/>
          <w:sz w:val="18"/>
        </w:rPr>
        <w:t>沪</w:t>
      </w:r>
      <w:proofErr w:type="gramStart"/>
      <w:r>
        <w:rPr>
          <w:rFonts w:ascii="Calibri" w:eastAsia="宋体" w:hAnsi="Calibri" w:cs="Times New Roman" w:hint="eastAsia"/>
          <w:sz w:val="18"/>
        </w:rPr>
        <w:t>民终</w:t>
      </w:r>
      <w:r>
        <w:rPr>
          <w:rFonts w:ascii="Calibri" w:eastAsia="宋体" w:hAnsi="Calibri" w:cs="Times New Roman" w:hint="eastAsia"/>
          <w:sz w:val="18"/>
        </w:rPr>
        <w:t>130</w:t>
      </w:r>
      <w:r>
        <w:rPr>
          <w:rFonts w:ascii="Calibri" w:eastAsia="宋体" w:hAnsi="Calibri" w:cs="Times New Roman" w:hint="eastAsia"/>
          <w:sz w:val="18"/>
        </w:rPr>
        <w:t>号</w:t>
      </w:r>
      <w:proofErr w:type="gramEnd"/>
      <w:r>
        <w:rPr>
          <w:rFonts w:ascii="Calibri" w:eastAsia="宋体" w:hAnsi="Calibri" w:cs="Times New Roman" w:hint="eastAsia"/>
          <w:sz w:val="18"/>
        </w:rPr>
        <w:t>。</w:t>
      </w:r>
    </w:p>
  </w:footnote>
  <w:footnote w:id="3">
    <w:p w14:paraId="3AAD3E9A" w14:textId="77777777" w:rsidR="00203670" w:rsidRDefault="003E3946">
      <w:pPr>
        <w:snapToGrid w:val="0"/>
        <w:jc w:val="left"/>
        <w:rPr>
          <w:rFonts w:ascii="Calibri" w:eastAsia="宋体" w:hAnsi="Calibri" w:cs="Times New Roman"/>
          <w:sz w:val="18"/>
        </w:rPr>
      </w:pPr>
      <w:r>
        <w:rPr>
          <w:rFonts w:ascii="Calibri" w:eastAsia="宋体" w:hAnsi="Calibri" w:cs="Times New Roman"/>
          <w:vertAlign w:val="superscript"/>
        </w:rPr>
        <w:footnoteRef/>
      </w:r>
      <w:r>
        <w:rPr>
          <w:rFonts w:ascii="Calibri" w:eastAsia="宋体" w:hAnsi="Calibri" w:cs="Times New Roman"/>
          <w:sz w:val="18"/>
        </w:rPr>
        <w:t xml:space="preserve"> </w:t>
      </w:r>
      <w:r>
        <w:rPr>
          <w:rFonts w:ascii="Calibri" w:eastAsia="宋体" w:hAnsi="Calibri" w:cs="Times New Roman" w:hint="eastAsia"/>
          <w:sz w:val="18"/>
        </w:rPr>
        <w:t>四川省成都市中级人民法院民事判决书，（</w:t>
      </w:r>
      <w:r>
        <w:rPr>
          <w:rFonts w:ascii="Calibri" w:eastAsia="宋体" w:hAnsi="Calibri" w:cs="Times New Roman" w:hint="eastAsia"/>
          <w:sz w:val="18"/>
        </w:rPr>
        <w:t>2019</w:t>
      </w:r>
      <w:r>
        <w:rPr>
          <w:rFonts w:ascii="Calibri" w:eastAsia="宋体" w:hAnsi="Calibri" w:cs="Times New Roman" w:hint="eastAsia"/>
          <w:sz w:val="18"/>
        </w:rPr>
        <w:t>）</w:t>
      </w:r>
      <w:r>
        <w:rPr>
          <w:rFonts w:ascii="Calibri" w:eastAsia="宋体" w:hAnsi="Calibri" w:cs="Times New Roman" w:hint="eastAsia"/>
          <w:sz w:val="18"/>
        </w:rPr>
        <w:t>川</w:t>
      </w:r>
      <w:r>
        <w:rPr>
          <w:rFonts w:ascii="Calibri" w:eastAsia="宋体" w:hAnsi="Calibri" w:cs="Times New Roman" w:hint="eastAsia"/>
          <w:sz w:val="18"/>
        </w:rPr>
        <w:t>01</w:t>
      </w:r>
      <w:r>
        <w:rPr>
          <w:rFonts w:ascii="Calibri" w:eastAsia="宋体" w:hAnsi="Calibri" w:cs="Times New Roman" w:hint="eastAsia"/>
          <w:sz w:val="18"/>
        </w:rPr>
        <w:t>民初</w:t>
      </w:r>
      <w:r>
        <w:rPr>
          <w:rFonts w:ascii="Calibri" w:eastAsia="宋体" w:hAnsi="Calibri" w:cs="Times New Roman" w:hint="eastAsia"/>
          <w:sz w:val="18"/>
        </w:rPr>
        <w:t>2806</w:t>
      </w:r>
      <w:r>
        <w:rPr>
          <w:rFonts w:ascii="Calibri" w:eastAsia="宋体" w:hAnsi="Calibri" w:cs="Times New Roman" w:hint="eastAsia"/>
          <w:sz w:val="18"/>
        </w:rPr>
        <w:t>号。</w:t>
      </w:r>
    </w:p>
  </w:footnote>
  <w:footnote w:id="4">
    <w:p w14:paraId="23476434" w14:textId="77777777" w:rsidR="00203670" w:rsidRDefault="003E3946">
      <w:pPr>
        <w:snapToGrid w:val="0"/>
        <w:jc w:val="left"/>
        <w:rPr>
          <w:rFonts w:ascii="Calibri" w:eastAsia="宋体" w:hAnsi="Calibri" w:cs="Times New Roman"/>
          <w:sz w:val="18"/>
        </w:rPr>
      </w:pPr>
      <w:r>
        <w:rPr>
          <w:rFonts w:ascii="Calibri" w:eastAsia="宋体" w:hAnsi="Calibri" w:cs="Times New Roman"/>
          <w:vertAlign w:val="superscript"/>
        </w:rPr>
        <w:footnoteRef/>
      </w:r>
      <w:r>
        <w:rPr>
          <w:rFonts w:ascii="Calibri" w:eastAsia="宋体" w:hAnsi="Calibri" w:cs="Times New Roman"/>
          <w:sz w:val="18"/>
        </w:rPr>
        <w:t xml:space="preserve"> </w:t>
      </w:r>
      <w:r>
        <w:rPr>
          <w:rFonts w:ascii="Calibri" w:eastAsia="宋体" w:hAnsi="Calibri" w:cs="Times New Roman" w:hint="eastAsia"/>
          <w:sz w:val="18"/>
        </w:rPr>
        <w:t>四川省高级人民法院民事判决书，（</w:t>
      </w:r>
      <w:r>
        <w:rPr>
          <w:rFonts w:ascii="Calibri" w:eastAsia="宋体" w:hAnsi="Calibri" w:cs="Times New Roman" w:hint="eastAsia"/>
          <w:sz w:val="18"/>
        </w:rPr>
        <w:t>2020</w:t>
      </w:r>
      <w:r>
        <w:rPr>
          <w:rFonts w:ascii="Calibri" w:eastAsia="宋体" w:hAnsi="Calibri" w:cs="Times New Roman" w:hint="eastAsia"/>
          <w:sz w:val="18"/>
        </w:rPr>
        <w:t>）</w:t>
      </w:r>
      <w:r>
        <w:rPr>
          <w:rFonts w:ascii="Calibri" w:eastAsia="宋体" w:hAnsi="Calibri" w:cs="Times New Roman" w:hint="eastAsia"/>
          <w:sz w:val="18"/>
        </w:rPr>
        <w:t>川</w:t>
      </w:r>
      <w:proofErr w:type="gramStart"/>
      <w:r>
        <w:rPr>
          <w:rFonts w:ascii="Calibri" w:eastAsia="宋体" w:hAnsi="Calibri" w:cs="Times New Roman" w:hint="eastAsia"/>
          <w:sz w:val="18"/>
        </w:rPr>
        <w:t>民终</w:t>
      </w:r>
      <w:r>
        <w:rPr>
          <w:rFonts w:ascii="Calibri" w:eastAsia="宋体" w:hAnsi="Calibri" w:cs="Times New Roman" w:hint="eastAsia"/>
          <w:sz w:val="18"/>
        </w:rPr>
        <w:t>293</w:t>
      </w:r>
      <w:r>
        <w:rPr>
          <w:rFonts w:ascii="Calibri" w:eastAsia="宋体" w:hAnsi="Calibri" w:cs="Times New Roman" w:hint="eastAsia"/>
          <w:sz w:val="18"/>
        </w:rPr>
        <w:t>号</w:t>
      </w:r>
      <w:proofErr w:type="gramEnd"/>
      <w:r>
        <w:rPr>
          <w:rFonts w:ascii="Calibri" w:eastAsia="宋体" w:hAnsi="Calibri" w:cs="Times New Roman" w:hint="eastAsia"/>
          <w:sz w:val="18"/>
        </w:rPr>
        <w:t>。</w:t>
      </w:r>
    </w:p>
  </w:footnote>
  <w:footnote w:id="5">
    <w:p w14:paraId="04DBD298" w14:textId="77777777" w:rsidR="00203670" w:rsidRDefault="003E3946">
      <w:pPr>
        <w:snapToGrid w:val="0"/>
        <w:jc w:val="left"/>
        <w:rPr>
          <w:rFonts w:ascii="Calibri" w:eastAsia="宋体" w:hAnsi="Calibri" w:cs="Times New Roman"/>
          <w:sz w:val="18"/>
        </w:rPr>
      </w:pPr>
      <w:r>
        <w:rPr>
          <w:rFonts w:ascii="Calibri" w:eastAsia="宋体" w:hAnsi="Calibri" w:cs="Times New Roman"/>
          <w:vertAlign w:val="superscript"/>
        </w:rPr>
        <w:footnoteRef/>
      </w:r>
      <w:r>
        <w:rPr>
          <w:rFonts w:ascii="Calibri" w:eastAsia="宋体" w:hAnsi="Calibri" w:cs="Times New Roman"/>
          <w:sz w:val="18"/>
        </w:rPr>
        <w:t xml:space="preserve"> </w:t>
      </w:r>
      <w:r>
        <w:rPr>
          <w:rFonts w:ascii="Calibri" w:eastAsia="宋体" w:hAnsi="Calibri" w:cs="Times New Roman" w:hint="eastAsia"/>
          <w:sz w:val="18"/>
        </w:rPr>
        <w:t>最高人民法院民事判决书，（</w:t>
      </w:r>
      <w:r>
        <w:rPr>
          <w:rFonts w:ascii="Calibri" w:eastAsia="宋体" w:hAnsi="Calibri" w:cs="Times New Roman" w:hint="eastAsia"/>
          <w:sz w:val="18"/>
        </w:rPr>
        <w:t>2022</w:t>
      </w:r>
      <w:r>
        <w:rPr>
          <w:rFonts w:ascii="Calibri" w:eastAsia="宋体" w:hAnsi="Calibri" w:cs="Times New Roman" w:hint="eastAsia"/>
          <w:sz w:val="18"/>
        </w:rPr>
        <w:t>）</w:t>
      </w:r>
      <w:r>
        <w:rPr>
          <w:rFonts w:ascii="Calibri" w:eastAsia="宋体" w:hAnsi="Calibri" w:cs="Times New Roman" w:hint="eastAsia"/>
          <w:sz w:val="18"/>
        </w:rPr>
        <w:t>最高法民申</w:t>
      </w:r>
      <w:r>
        <w:rPr>
          <w:rFonts w:ascii="Calibri" w:eastAsia="宋体" w:hAnsi="Calibri" w:cs="Times New Roman" w:hint="eastAsia"/>
          <w:sz w:val="18"/>
        </w:rPr>
        <w:t>365</w:t>
      </w:r>
      <w:r>
        <w:rPr>
          <w:rFonts w:ascii="Calibri" w:eastAsia="宋体" w:hAnsi="Calibri" w:cs="Times New Roman" w:hint="eastAsia"/>
          <w:sz w:val="18"/>
        </w:rPr>
        <w:t>号。</w:t>
      </w:r>
    </w:p>
  </w:footnote>
  <w:footnote w:id="6">
    <w:p w14:paraId="002AD170" w14:textId="77777777" w:rsidR="00203670" w:rsidRDefault="003E3946">
      <w:pPr>
        <w:snapToGrid w:val="0"/>
        <w:jc w:val="left"/>
        <w:rPr>
          <w:rFonts w:ascii="Calibri" w:eastAsia="宋体" w:hAnsi="Calibri" w:cs="Times New Roman"/>
          <w:sz w:val="18"/>
        </w:rPr>
      </w:pPr>
      <w:r>
        <w:rPr>
          <w:rFonts w:ascii="Calibri" w:eastAsia="宋体" w:hAnsi="Calibri" w:cs="Times New Roman"/>
          <w:vertAlign w:val="superscript"/>
        </w:rPr>
        <w:footnoteRef/>
      </w:r>
      <w:r>
        <w:rPr>
          <w:rFonts w:ascii="Calibri" w:eastAsia="宋体" w:hAnsi="Calibri" w:cs="Times New Roman"/>
          <w:sz w:val="18"/>
        </w:rPr>
        <w:t xml:space="preserve"> </w:t>
      </w:r>
      <w:r>
        <w:rPr>
          <w:rFonts w:ascii="Calibri" w:eastAsia="宋体" w:hAnsi="Calibri" w:cs="Times New Roman" w:hint="eastAsia"/>
          <w:sz w:val="18"/>
        </w:rPr>
        <w:t>黑龙江省高级人民法院民事判决书，（</w:t>
      </w:r>
      <w:r>
        <w:rPr>
          <w:rFonts w:ascii="Calibri" w:eastAsia="宋体" w:hAnsi="Calibri" w:cs="Times New Roman" w:hint="eastAsia"/>
          <w:sz w:val="18"/>
        </w:rPr>
        <w:t>2023</w:t>
      </w:r>
      <w:r>
        <w:rPr>
          <w:rFonts w:ascii="Calibri" w:eastAsia="宋体" w:hAnsi="Calibri" w:cs="Times New Roman" w:hint="eastAsia"/>
          <w:sz w:val="18"/>
        </w:rPr>
        <w:t>）</w:t>
      </w:r>
      <w:r>
        <w:rPr>
          <w:rFonts w:ascii="Calibri" w:eastAsia="宋体" w:hAnsi="Calibri" w:cs="Times New Roman" w:hint="eastAsia"/>
          <w:sz w:val="18"/>
        </w:rPr>
        <w:t>黑</w:t>
      </w:r>
      <w:r>
        <w:rPr>
          <w:rFonts w:ascii="Calibri" w:eastAsia="宋体" w:hAnsi="Calibri" w:cs="Times New Roman" w:hint="eastAsia"/>
          <w:sz w:val="18"/>
        </w:rPr>
        <w:t>01</w:t>
      </w:r>
      <w:r>
        <w:rPr>
          <w:rFonts w:ascii="Calibri" w:eastAsia="宋体" w:hAnsi="Calibri" w:cs="Times New Roman" w:hint="eastAsia"/>
          <w:sz w:val="18"/>
        </w:rPr>
        <w:t>民初</w:t>
      </w:r>
      <w:r>
        <w:rPr>
          <w:rFonts w:ascii="Calibri" w:eastAsia="宋体" w:hAnsi="Calibri" w:cs="Times New Roman" w:hint="eastAsia"/>
          <w:sz w:val="18"/>
        </w:rPr>
        <w:t>2205</w:t>
      </w:r>
      <w:r>
        <w:rPr>
          <w:rFonts w:ascii="Calibri" w:eastAsia="宋体" w:hAnsi="Calibri" w:cs="Times New Roman" w:hint="eastAsia"/>
          <w:sz w:val="18"/>
        </w:rPr>
        <w:t>号。</w:t>
      </w:r>
    </w:p>
  </w:footnote>
  <w:footnote w:id="7">
    <w:p w14:paraId="05B15C5B" w14:textId="77777777" w:rsidR="00203670" w:rsidRDefault="003E3946">
      <w:pPr>
        <w:keepLines/>
        <w:snapToGrid w:val="0"/>
        <w:jc w:val="left"/>
        <w:rPr>
          <w:rFonts w:ascii="Calibri" w:hAnsi="Calibri" w:cs="Times New Roman"/>
          <w:sz w:val="18"/>
          <w:szCs w:val="18"/>
        </w:rPr>
      </w:pPr>
      <w:r>
        <w:rPr>
          <w:rStyle w:val="af3"/>
        </w:rPr>
        <w:footnoteRef/>
      </w:r>
      <w:r>
        <w:rPr>
          <w:rStyle w:val="af3"/>
        </w:rPr>
        <w:t xml:space="preserve"> </w:t>
      </w:r>
      <w:r>
        <w:rPr>
          <w:rFonts w:ascii="Calibri" w:eastAsia="宋体" w:hAnsi="Calibri" w:cs="Times New Roman" w:hint="eastAsia"/>
          <w:sz w:val="18"/>
          <w:szCs w:val="18"/>
        </w:rPr>
        <w:t>湖南省高级人民法院民事判决书，</w:t>
      </w:r>
      <w:r>
        <w:rPr>
          <w:rFonts w:ascii="Calibri" w:eastAsia="宋体" w:hAnsi="Calibri" w:cs="Times New Roman" w:hint="eastAsia"/>
          <w:sz w:val="18"/>
          <w:szCs w:val="18"/>
        </w:rPr>
        <w:t>(2020)</w:t>
      </w:r>
      <w:proofErr w:type="gramStart"/>
      <w:r>
        <w:rPr>
          <w:rFonts w:ascii="Calibri" w:eastAsia="宋体" w:hAnsi="Calibri" w:cs="Times New Roman" w:hint="eastAsia"/>
          <w:sz w:val="18"/>
          <w:szCs w:val="18"/>
        </w:rPr>
        <w:t>湘民终</w:t>
      </w:r>
      <w:proofErr w:type="gramEnd"/>
      <w:r>
        <w:rPr>
          <w:rFonts w:ascii="Calibri" w:eastAsia="宋体" w:hAnsi="Calibri" w:cs="Times New Roman" w:hint="eastAsia"/>
          <w:sz w:val="18"/>
          <w:szCs w:val="18"/>
        </w:rPr>
        <w:t>262</w:t>
      </w:r>
      <w:r>
        <w:rPr>
          <w:rFonts w:ascii="Calibri" w:eastAsia="宋体" w:hAnsi="Calibri" w:cs="Times New Roman" w:hint="eastAsia"/>
          <w:sz w:val="18"/>
          <w:szCs w:val="18"/>
        </w:rPr>
        <w:t>—</w:t>
      </w:r>
      <w:r>
        <w:rPr>
          <w:rFonts w:ascii="Calibri" w:eastAsia="宋体" w:hAnsi="Calibri" w:cs="Times New Roman" w:hint="eastAsia"/>
          <w:sz w:val="18"/>
          <w:szCs w:val="18"/>
        </w:rPr>
        <w:t>264</w:t>
      </w:r>
      <w:r>
        <w:rPr>
          <w:rFonts w:ascii="Calibri" w:eastAsia="宋体" w:hAnsi="Calibri" w:cs="Times New Roman" w:hint="eastAsia"/>
          <w:sz w:val="18"/>
          <w:szCs w:val="18"/>
        </w:rPr>
        <w:t>号。</w:t>
      </w:r>
    </w:p>
  </w:footnote>
  <w:footnote w:id="8">
    <w:p w14:paraId="0030B80D" w14:textId="77777777" w:rsidR="00203670" w:rsidRDefault="003E3946">
      <w:pPr>
        <w:snapToGrid w:val="0"/>
        <w:jc w:val="left"/>
        <w:rPr>
          <w:rFonts w:ascii="Calibri" w:eastAsia="宋体" w:hAnsi="Calibri" w:cs="Times New Roman"/>
          <w:color w:val="000000" w:themeColor="text1"/>
          <w:sz w:val="18"/>
          <w:szCs w:val="18"/>
        </w:rPr>
      </w:pPr>
      <w:r>
        <w:rPr>
          <w:rFonts w:ascii="Calibri" w:eastAsia="宋体" w:hAnsi="Calibri" w:cs="Times New Roman"/>
          <w:sz w:val="18"/>
          <w:szCs w:val="18"/>
          <w:vertAlign w:val="superscript"/>
        </w:rPr>
        <w:footnoteRef/>
      </w:r>
      <w:r>
        <w:rPr>
          <w:rFonts w:ascii="Calibri" w:eastAsia="宋体" w:hAnsi="Calibri" w:cs="Times New Roman"/>
          <w:sz w:val="18"/>
          <w:szCs w:val="18"/>
        </w:rPr>
        <w:t xml:space="preserve"> </w:t>
      </w:r>
      <w:r>
        <w:rPr>
          <w:rFonts w:ascii="Calibri" w:eastAsia="宋体" w:hAnsi="Calibri" w:cs="Times New Roman" w:hint="eastAsia"/>
          <w:sz w:val="18"/>
          <w:szCs w:val="18"/>
        </w:rPr>
        <w:t>中国政府采购网网站，</w:t>
      </w:r>
      <w:hyperlink r:id="rId1" w:history="1">
        <w:r>
          <w:rPr>
            <w:rStyle w:val="af1"/>
            <w:rFonts w:hint="eastAsia"/>
            <w:sz w:val="18"/>
            <w:szCs w:val="18"/>
          </w:rPr>
          <w:t>https://www.ccgp.gov.cn/cggg/dfgg/gzgg/202502/t20250210_24146845.htm</w:t>
        </w:r>
      </w:hyperlink>
      <w:r>
        <w:rPr>
          <w:rFonts w:ascii="Calibri" w:eastAsia="宋体" w:hAnsi="Calibri" w:cs="Times New Roman" w:hint="eastAsia"/>
          <w:color w:val="000000" w:themeColor="text1"/>
          <w:sz w:val="18"/>
          <w:szCs w:val="18"/>
        </w:rPr>
        <w:t>，</w:t>
      </w:r>
      <w:r>
        <w:rPr>
          <w:rFonts w:ascii="Calibri" w:eastAsia="宋体" w:hAnsi="Calibri" w:cs="Times New Roman" w:hint="eastAsia"/>
          <w:color w:val="000000" w:themeColor="text1"/>
          <w:sz w:val="18"/>
          <w:szCs w:val="18"/>
        </w:rPr>
        <w:t>2025</w:t>
      </w:r>
      <w:r>
        <w:rPr>
          <w:rFonts w:ascii="Calibri" w:eastAsia="宋体" w:hAnsi="Calibri" w:cs="Times New Roman" w:hint="eastAsia"/>
          <w:color w:val="000000" w:themeColor="text1"/>
          <w:sz w:val="18"/>
          <w:szCs w:val="18"/>
        </w:rPr>
        <w:t>年</w:t>
      </w:r>
      <w:r>
        <w:rPr>
          <w:rFonts w:ascii="Calibri" w:eastAsia="宋体" w:hAnsi="Calibri" w:cs="Times New Roman" w:hint="eastAsia"/>
          <w:color w:val="000000" w:themeColor="text1"/>
          <w:sz w:val="18"/>
          <w:szCs w:val="18"/>
        </w:rPr>
        <w:t>9</w:t>
      </w:r>
      <w:r>
        <w:rPr>
          <w:rFonts w:ascii="Calibri" w:eastAsia="宋体" w:hAnsi="Calibri" w:cs="Times New Roman" w:hint="eastAsia"/>
          <w:color w:val="000000" w:themeColor="text1"/>
          <w:sz w:val="18"/>
          <w:szCs w:val="18"/>
        </w:rPr>
        <w:t>月</w:t>
      </w:r>
      <w:r>
        <w:rPr>
          <w:rFonts w:ascii="Calibri" w:eastAsia="宋体" w:hAnsi="Calibri" w:cs="Times New Roman" w:hint="eastAsia"/>
          <w:color w:val="000000" w:themeColor="text1"/>
          <w:sz w:val="18"/>
          <w:szCs w:val="18"/>
        </w:rPr>
        <w:t>26</w:t>
      </w:r>
      <w:r>
        <w:rPr>
          <w:rFonts w:ascii="Calibri" w:eastAsia="宋体" w:hAnsi="Calibri" w:cs="Times New Roman" w:hint="eastAsia"/>
          <w:color w:val="000000" w:themeColor="text1"/>
          <w:sz w:val="18"/>
          <w:szCs w:val="18"/>
        </w:rPr>
        <w:t>号访问。</w:t>
      </w:r>
    </w:p>
  </w:footnote>
  <w:footnote w:id="9">
    <w:p w14:paraId="681173EB" w14:textId="77777777" w:rsidR="00203670" w:rsidRDefault="003E3946">
      <w:pPr>
        <w:snapToGrid w:val="0"/>
        <w:jc w:val="left"/>
        <w:rPr>
          <w:rFonts w:ascii="Calibri" w:eastAsia="宋体" w:hAnsi="Calibri" w:cs="Times New Roman"/>
          <w:sz w:val="18"/>
        </w:rPr>
      </w:pPr>
      <w:r>
        <w:rPr>
          <w:rFonts w:ascii="Calibri" w:eastAsia="宋体" w:hAnsi="Calibri" w:cs="Times New Roman"/>
          <w:vertAlign w:val="superscript"/>
        </w:rPr>
        <w:footnoteRef/>
      </w:r>
      <w:r>
        <w:rPr>
          <w:rFonts w:ascii="Calibri" w:eastAsia="宋体" w:hAnsi="Calibri" w:cs="Times New Roman"/>
          <w:sz w:val="18"/>
        </w:rPr>
        <w:t xml:space="preserve"> </w:t>
      </w:r>
      <w:r>
        <w:rPr>
          <w:rFonts w:ascii="Calibri" w:eastAsia="宋体" w:hAnsi="Calibri" w:cs="Times New Roman" w:hint="eastAsia"/>
          <w:sz w:val="18"/>
        </w:rPr>
        <w:t>中国证券监督管理委员会深圳监管局行政处罚决定书，〔</w:t>
      </w:r>
      <w:r>
        <w:rPr>
          <w:rFonts w:ascii="Calibri" w:eastAsia="宋体" w:hAnsi="Calibri" w:cs="Times New Roman" w:hint="eastAsia"/>
          <w:sz w:val="18"/>
        </w:rPr>
        <w:t>2024</w:t>
      </w:r>
      <w:r>
        <w:rPr>
          <w:rFonts w:ascii="Calibri" w:eastAsia="宋体" w:hAnsi="Calibri" w:cs="Times New Roman" w:hint="eastAsia"/>
          <w:sz w:val="18"/>
        </w:rPr>
        <w:t>〕</w:t>
      </w:r>
      <w:r>
        <w:rPr>
          <w:rFonts w:ascii="Calibri" w:eastAsia="宋体" w:hAnsi="Calibri" w:cs="Times New Roman" w:hint="eastAsia"/>
          <w:sz w:val="18"/>
        </w:rPr>
        <w:t>23</w:t>
      </w:r>
      <w:r>
        <w:rPr>
          <w:rFonts w:ascii="Calibri" w:eastAsia="宋体" w:hAnsi="Calibri" w:cs="Times New Roman" w:hint="eastAsia"/>
          <w:sz w:val="18"/>
        </w:rPr>
        <w:t>号</w:t>
      </w:r>
    </w:p>
  </w:footnote>
  <w:footnote w:id="10">
    <w:p w14:paraId="0098E3F2" w14:textId="77777777" w:rsidR="00203670" w:rsidRDefault="003E3946">
      <w:pPr>
        <w:pStyle w:val="ab"/>
      </w:pPr>
      <w:r>
        <w:rPr>
          <w:rStyle w:val="af3"/>
        </w:rPr>
        <w:footnoteRef/>
      </w:r>
      <w:r>
        <w:t xml:space="preserve"> </w:t>
      </w:r>
      <w:r>
        <w:rPr>
          <w:rFonts w:hint="eastAsia"/>
        </w:rPr>
        <w:t>财政部关于《中华人民共和国政府采购法实施条例》第十九条第一款“较大数额罚款”具体适用问题的意见，财库〔</w:t>
      </w:r>
      <w:r>
        <w:rPr>
          <w:rFonts w:hint="eastAsia"/>
        </w:rPr>
        <w:t>2022</w:t>
      </w:r>
      <w:r>
        <w:rPr>
          <w:rFonts w:hint="eastAsia"/>
        </w:rPr>
        <w:t>〕</w:t>
      </w:r>
      <w:r>
        <w:rPr>
          <w:rFonts w:hint="eastAsia"/>
        </w:rPr>
        <w:t xml:space="preserve">3 </w:t>
      </w:r>
      <w:r>
        <w:rPr>
          <w:rFonts w:hint="eastAsia"/>
        </w:rPr>
        <w:t>号。</w:t>
      </w:r>
    </w:p>
  </w:footnote>
  <w:footnote w:id="11">
    <w:p w14:paraId="046D7969" w14:textId="77777777" w:rsidR="00203670" w:rsidRDefault="003E3946">
      <w:pPr>
        <w:snapToGrid w:val="0"/>
        <w:jc w:val="left"/>
        <w:rPr>
          <w:rFonts w:ascii="Calibri" w:eastAsia="宋体" w:hAnsi="Calibri" w:cs="Times New Roman"/>
          <w:sz w:val="18"/>
        </w:rPr>
      </w:pPr>
      <w:r>
        <w:rPr>
          <w:rFonts w:ascii="Calibri" w:eastAsia="宋体" w:hAnsi="Calibri" w:cs="Times New Roman"/>
          <w:vertAlign w:val="superscript"/>
        </w:rPr>
        <w:footnoteRef/>
      </w:r>
      <w:r>
        <w:rPr>
          <w:rFonts w:ascii="Calibri" w:eastAsia="宋体" w:hAnsi="Calibri" w:cs="Times New Roman"/>
          <w:sz w:val="18"/>
        </w:rPr>
        <w:t xml:space="preserve"> </w:t>
      </w:r>
      <w:r>
        <w:rPr>
          <w:rFonts w:ascii="Calibri" w:eastAsia="宋体" w:hAnsi="Calibri" w:cs="Times New Roman" w:hint="eastAsia"/>
          <w:sz w:val="18"/>
        </w:rPr>
        <w:t>参见</w:t>
      </w:r>
      <w:r>
        <w:rPr>
          <w:rFonts w:ascii="Calibri" w:eastAsia="宋体" w:hAnsi="Calibri" w:cs="Times New Roman" w:hint="eastAsia"/>
          <w:sz w:val="18"/>
        </w:rPr>
        <w:t xml:space="preserve"> </w:t>
      </w:r>
      <w:proofErr w:type="gramStart"/>
      <w:r>
        <w:rPr>
          <w:rFonts w:ascii="Calibri" w:eastAsia="宋体" w:hAnsi="Calibri" w:cs="Times New Roman" w:hint="eastAsia"/>
          <w:sz w:val="18"/>
        </w:rPr>
        <w:t>解志勇</w:t>
      </w:r>
      <w:proofErr w:type="gramEnd"/>
      <w:r>
        <w:rPr>
          <w:rFonts w:ascii="Calibri" w:eastAsia="宋体" w:hAnsi="Calibri" w:cs="Times New Roman" w:hint="eastAsia"/>
          <w:sz w:val="18"/>
        </w:rPr>
        <w:t>、石海波</w:t>
      </w:r>
      <w:r>
        <w:rPr>
          <w:rFonts w:ascii="Calibri" w:eastAsia="宋体" w:hAnsi="Calibri" w:cs="Times New Roman" w:hint="eastAsia"/>
          <w:sz w:val="18"/>
        </w:rPr>
        <w:t>:</w:t>
      </w:r>
      <w:r>
        <w:rPr>
          <w:rFonts w:ascii="Calibri" w:eastAsia="宋体" w:hAnsi="Calibri" w:cs="Times New Roman" w:hint="eastAsia"/>
          <w:sz w:val="18"/>
        </w:rPr>
        <w:t>《企业合规在行政执法和解中的导入研究》，载《行政法学研究》</w:t>
      </w:r>
      <w:r>
        <w:rPr>
          <w:rFonts w:ascii="Calibri" w:eastAsia="宋体" w:hAnsi="Calibri" w:cs="Times New Roman" w:hint="eastAsia"/>
          <w:sz w:val="18"/>
        </w:rPr>
        <w:t>2023</w:t>
      </w:r>
      <w:r>
        <w:rPr>
          <w:rFonts w:ascii="Calibri" w:eastAsia="宋体" w:hAnsi="Calibri" w:cs="Times New Roman" w:hint="eastAsia"/>
          <w:sz w:val="18"/>
        </w:rPr>
        <w:t>年第</w:t>
      </w:r>
      <w:r>
        <w:rPr>
          <w:rFonts w:ascii="Calibri" w:eastAsia="宋体" w:hAnsi="Calibri" w:cs="Times New Roman" w:hint="eastAsia"/>
          <w:sz w:val="18"/>
        </w:rPr>
        <w:t>5</w:t>
      </w:r>
      <w:r>
        <w:rPr>
          <w:rFonts w:ascii="Calibri" w:eastAsia="宋体" w:hAnsi="Calibri" w:cs="Times New Roman" w:hint="eastAsia"/>
          <w:sz w:val="18"/>
        </w:rPr>
        <w:t>期。</w:t>
      </w:r>
    </w:p>
  </w:footnote>
  <w:footnote w:id="12">
    <w:p w14:paraId="76D750FD" w14:textId="77777777" w:rsidR="00203670" w:rsidRDefault="003E3946">
      <w:pPr>
        <w:snapToGrid w:val="0"/>
        <w:jc w:val="left"/>
        <w:rPr>
          <w:rFonts w:ascii="Calibri" w:eastAsia="宋体" w:hAnsi="Calibri" w:cs="Times New Roman"/>
          <w:sz w:val="18"/>
        </w:rPr>
      </w:pPr>
      <w:r>
        <w:rPr>
          <w:rFonts w:ascii="Calibri" w:eastAsia="宋体" w:hAnsi="Calibri" w:cs="Times New Roman"/>
          <w:vertAlign w:val="superscript"/>
        </w:rPr>
        <w:footnoteRef/>
      </w:r>
      <w:r>
        <w:rPr>
          <w:rFonts w:ascii="Calibri" w:eastAsia="宋体" w:hAnsi="Calibri" w:cs="Times New Roman"/>
          <w:sz w:val="18"/>
        </w:rPr>
        <w:t xml:space="preserve"> </w:t>
      </w:r>
      <w:r>
        <w:rPr>
          <w:rFonts w:ascii="Calibri" w:eastAsia="宋体" w:hAnsi="Calibri" w:cs="Times New Roman" w:hint="eastAsia"/>
          <w:sz w:val="18"/>
        </w:rPr>
        <w:t>参见</w:t>
      </w:r>
      <w:r>
        <w:rPr>
          <w:rFonts w:ascii="Calibri" w:eastAsia="宋体" w:hAnsi="Calibri" w:cs="Times New Roman" w:hint="eastAsia"/>
          <w:sz w:val="18"/>
        </w:rPr>
        <w:t xml:space="preserve"> </w:t>
      </w:r>
      <w:proofErr w:type="gramStart"/>
      <w:r>
        <w:rPr>
          <w:rFonts w:ascii="Calibri" w:eastAsia="宋体" w:hAnsi="Calibri" w:cs="Times New Roman" w:hint="eastAsia"/>
          <w:sz w:val="18"/>
        </w:rPr>
        <w:t>张政燕</w:t>
      </w:r>
      <w:proofErr w:type="gramEnd"/>
      <w:r>
        <w:rPr>
          <w:rFonts w:ascii="Calibri" w:eastAsia="宋体" w:hAnsi="Calibri" w:cs="Times New Roman" w:hint="eastAsia"/>
          <w:sz w:val="18"/>
        </w:rPr>
        <w:t>:</w:t>
      </w:r>
      <w:r>
        <w:rPr>
          <w:rFonts w:ascii="Calibri" w:eastAsia="宋体" w:hAnsi="Calibri" w:cs="Times New Roman" w:hint="eastAsia"/>
          <w:sz w:val="18"/>
        </w:rPr>
        <w:t>《资本市场行政执法当事人承诺实施问题研究》，载《证券市场导报》</w:t>
      </w:r>
      <w:r>
        <w:rPr>
          <w:rFonts w:ascii="Calibri" w:eastAsia="宋体" w:hAnsi="Calibri" w:cs="Times New Roman" w:hint="eastAsia"/>
          <w:sz w:val="18"/>
        </w:rPr>
        <w:t>2023</w:t>
      </w:r>
      <w:r>
        <w:rPr>
          <w:rFonts w:ascii="Calibri" w:eastAsia="宋体" w:hAnsi="Calibri" w:cs="Times New Roman" w:hint="eastAsia"/>
          <w:sz w:val="18"/>
        </w:rPr>
        <w:t>年第</w:t>
      </w:r>
      <w:r>
        <w:rPr>
          <w:rFonts w:ascii="Calibri" w:eastAsia="宋体" w:hAnsi="Calibri" w:cs="Times New Roman" w:hint="eastAsia"/>
          <w:sz w:val="18"/>
        </w:rPr>
        <w:t>8</w:t>
      </w:r>
      <w:r>
        <w:rPr>
          <w:rFonts w:ascii="Calibri" w:eastAsia="宋体" w:hAnsi="Calibri" w:cs="Times New Roman" w:hint="eastAsia"/>
          <w:sz w:val="18"/>
        </w:rPr>
        <w:t>期。</w:t>
      </w:r>
    </w:p>
  </w:footnote>
  <w:footnote w:id="13">
    <w:p w14:paraId="3D4AE6D0" w14:textId="77777777" w:rsidR="00203670" w:rsidRDefault="003E3946">
      <w:pPr>
        <w:snapToGrid w:val="0"/>
        <w:jc w:val="left"/>
        <w:rPr>
          <w:rFonts w:ascii="Calibri" w:eastAsia="宋体" w:hAnsi="Calibri" w:cs="Times New Roman"/>
          <w:sz w:val="18"/>
        </w:rPr>
      </w:pPr>
      <w:r>
        <w:rPr>
          <w:rFonts w:ascii="Calibri" w:eastAsia="宋体" w:hAnsi="Calibri" w:cs="Times New Roman"/>
          <w:vertAlign w:val="superscript"/>
        </w:rPr>
        <w:footnoteRef/>
      </w:r>
      <w:r>
        <w:rPr>
          <w:rFonts w:ascii="Calibri" w:eastAsia="宋体" w:hAnsi="Calibri" w:cs="Times New Roman"/>
          <w:sz w:val="18"/>
        </w:rPr>
        <w:t xml:space="preserve"> </w:t>
      </w:r>
      <w:r>
        <w:rPr>
          <w:rFonts w:ascii="Calibri" w:eastAsia="宋体" w:hAnsi="Calibri" w:cs="Times New Roman" w:hint="eastAsia"/>
          <w:sz w:val="18"/>
        </w:rPr>
        <w:t>参见</w:t>
      </w:r>
      <w:r>
        <w:rPr>
          <w:rFonts w:ascii="Calibri" w:eastAsia="宋体" w:hAnsi="Calibri" w:cs="Times New Roman" w:hint="eastAsia"/>
          <w:sz w:val="18"/>
        </w:rPr>
        <w:t xml:space="preserve"> </w:t>
      </w:r>
      <w:r>
        <w:rPr>
          <w:rFonts w:ascii="Calibri" w:eastAsia="宋体" w:hAnsi="Calibri" w:cs="Times New Roman" w:hint="eastAsia"/>
          <w:sz w:val="18"/>
        </w:rPr>
        <w:t>程丹：《紫晶存储案投资者获赔逾</w:t>
      </w:r>
      <w:r>
        <w:rPr>
          <w:rFonts w:ascii="Calibri" w:eastAsia="宋体" w:hAnsi="Calibri" w:cs="Times New Roman" w:hint="eastAsia"/>
          <w:sz w:val="18"/>
        </w:rPr>
        <w:t>10</w:t>
      </w:r>
      <w:r>
        <w:rPr>
          <w:rFonts w:ascii="Calibri" w:eastAsia="宋体" w:hAnsi="Calibri" w:cs="Times New Roman" w:hint="eastAsia"/>
          <w:sz w:val="18"/>
        </w:rPr>
        <w:t>亿</w:t>
      </w:r>
      <w:r>
        <w:rPr>
          <w:rFonts w:ascii="Calibri" w:eastAsia="宋体" w:hAnsi="Calibri" w:cs="Times New Roman" w:hint="eastAsia"/>
          <w:sz w:val="18"/>
        </w:rPr>
        <w:t xml:space="preserve"> </w:t>
      </w:r>
      <w:r>
        <w:rPr>
          <w:rFonts w:ascii="Calibri" w:eastAsia="宋体" w:hAnsi="Calibri" w:cs="Times New Roman" w:hint="eastAsia"/>
          <w:sz w:val="18"/>
        </w:rPr>
        <w:t>证监会依法终止对四中介调查》，</w:t>
      </w:r>
      <w:proofErr w:type="gramStart"/>
      <w:r>
        <w:rPr>
          <w:rFonts w:ascii="Calibri" w:eastAsia="宋体" w:hAnsi="Calibri" w:cs="Times New Roman" w:hint="eastAsia"/>
          <w:sz w:val="18"/>
        </w:rPr>
        <w:t>载证券</w:t>
      </w:r>
      <w:proofErr w:type="gramEnd"/>
      <w:r>
        <w:rPr>
          <w:rFonts w:ascii="Calibri" w:eastAsia="宋体" w:hAnsi="Calibri" w:cs="Times New Roman" w:hint="eastAsia"/>
          <w:sz w:val="18"/>
        </w:rPr>
        <w:t>时报网，</w:t>
      </w:r>
      <w:hyperlink r:id="rId2" w:history="1">
        <w:r>
          <w:rPr>
            <w:rStyle w:val="af1"/>
            <w:sz w:val="18"/>
            <w:szCs w:val="18"/>
          </w:rPr>
          <w:t>https://www.stcn.com/article/detail/1305018.html</w:t>
        </w:r>
      </w:hyperlink>
      <w:r>
        <w:rPr>
          <w:rFonts w:ascii="Calibri" w:eastAsia="宋体" w:hAnsi="Calibri" w:cs="Times New Roman" w:hint="eastAsia"/>
          <w:sz w:val="18"/>
          <w:szCs w:val="18"/>
        </w:rPr>
        <w:t>。</w:t>
      </w:r>
    </w:p>
  </w:footnote>
  <w:footnote w:id="14">
    <w:p w14:paraId="7D859F89" w14:textId="77777777" w:rsidR="00203670" w:rsidRDefault="003E3946">
      <w:pPr>
        <w:pStyle w:val="ab"/>
      </w:pPr>
      <w:r>
        <w:rPr>
          <w:rStyle w:val="af3"/>
        </w:rPr>
        <w:footnoteRef/>
      </w:r>
      <w:r>
        <w:t xml:space="preserve"> </w:t>
      </w:r>
      <w:r>
        <w:rPr>
          <w:rFonts w:hint="eastAsia"/>
        </w:rPr>
        <w:t>参见</w:t>
      </w:r>
      <w:r>
        <w:rPr>
          <w:rFonts w:hint="eastAsia"/>
        </w:rPr>
        <w:t xml:space="preserve"> </w:t>
      </w:r>
      <w:r>
        <w:rPr>
          <w:rFonts w:hint="eastAsia"/>
        </w:rPr>
        <w:t>马静：《泽达易盛一案，最新进展》，</w:t>
      </w:r>
      <w:proofErr w:type="gramStart"/>
      <w:r>
        <w:rPr>
          <w:rFonts w:hint="eastAsia"/>
        </w:rPr>
        <w:t>载证券</w:t>
      </w:r>
      <w:proofErr w:type="gramEnd"/>
      <w:r>
        <w:rPr>
          <w:rFonts w:hint="eastAsia"/>
        </w:rPr>
        <w:t>时报网，</w:t>
      </w:r>
      <w:r>
        <w:fldChar w:fldCharType="begin"/>
      </w:r>
      <w:r>
        <w:instrText>HYPERLINK "https://stcn.com/article/detail/1372040.html"</w:instrText>
      </w:r>
      <w:r>
        <w:fldChar w:fldCharType="separate"/>
      </w:r>
      <w:r>
        <w:rPr>
          <w:rStyle w:val="af1"/>
        </w:rPr>
        <w:t>https://stcn.com/article/detail/1372040.html</w:t>
      </w:r>
      <w:r>
        <w:fldChar w:fldCharType="end"/>
      </w:r>
      <w:r>
        <w:rPr>
          <w:rFonts w:hint="eastAsia"/>
        </w:rPr>
        <w:t>。</w:t>
      </w:r>
    </w:p>
  </w:footnote>
  <w:footnote w:id="15">
    <w:p w14:paraId="0A465325" w14:textId="77777777" w:rsidR="00203670" w:rsidRDefault="003E3946">
      <w:pPr>
        <w:pStyle w:val="ab"/>
      </w:pPr>
      <w:r>
        <w:rPr>
          <w:rStyle w:val="af3"/>
        </w:rPr>
        <w:footnoteRef/>
      </w:r>
      <w:r>
        <w:t xml:space="preserve"> </w:t>
      </w:r>
      <w:r>
        <w:rPr>
          <w:rFonts w:hint="eastAsia"/>
        </w:rPr>
        <w:t>上海市金融法院民事判决书，（</w:t>
      </w:r>
      <w:r>
        <w:rPr>
          <w:rFonts w:hint="eastAsia"/>
        </w:rPr>
        <w:t>2023</w:t>
      </w:r>
      <w:r>
        <w:rPr>
          <w:rFonts w:hint="eastAsia"/>
        </w:rPr>
        <w:t>）</w:t>
      </w:r>
      <w:r>
        <w:rPr>
          <w:rFonts w:hint="eastAsia"/>
        </w:rPr>
        <w:t>沪</w:t>
      </w:r>
      <w:r>
        <w:rPr>
          <w:rFonts w:hint="eastAsia"/>
        </w:rPr>
        <w:t>74</w:t>
      </w:r>
      <w:r>
        <w:rPr>
          <w:rFonts w:hint="eastAsia"/>
        </w:rPr>
        <w:t>民初</w:t>
      </w:r>
      <w:r>
        <w:rPr>
          <w:rFonts w:hint="eastAsia"/>
        </w:rPr>
        <w:t>669</w:t>
      </w:r>
      <w:r>
        <w:rPr>
          <w:rFonts w:hint="eastAsia"/>
        </w:rPr>
        <w:t>号。</w:t>
      </w:r>
    </w:p>
  </w:footnote>
  <w:footnote w:id="16">
    <w:p w14:paraId="46F05608" w14:textId="77777777" w:rsidR="00203670" w:rsidRDefault="003E3946">
      <w:pPr>
        <w:pStyle w:val="ab"/>
      </w:pPr>
      <w:r>
        <w:rPr>
          <w:rStyle w:val="af3"/>
        </w:rPr>
        <w:footnoteRef/>
      </w:r>
      <w:r>
        <w:t xml:space="preserve"> </w:t>
      </w:r>
      <w:r>
        <w:rPr>
          <w:rFonts w:hint="eastAsia"/>
        </w:rPr>
        <w:t>该表系对仅有两起执法承诺案例的整理总结。</w:t>
      </w:r>
    </w:p>
  </w:footnote>
  <w:footnote w:id="17">
    <w:p w14:paraId="0D215577" w14:textId="77777777" w:rsidR="00203670" w:rsidRDefault="003E3946">
      <w:pPr>
        <w:pStyle w:val="ab"/>
      </w:pPr>
      <w:r>
        <w:rPr>
          <w:rStyle w:val="af3"/>
        </w:rPr>
        <w:footnoteRef/>
      </w:r>
      <w:r>
        <w:t xml:space="preserve"> </w:t>
      </w:r>
      <w:r>
        <w:rPr>
          <w:rFonts w:hint="eastAsia"/>
        </w:rPr>
        <w:t>参见</w:t>
      </w:r>
      <w:r>
        <w:rPr>
          <w:rFonts w:hint="eastAsia"/>
        </w:rPr>
        <w:t xml:space="preserve"> </w:t>
      </w:r>
      <w:r>
        <w:rPr>
          <w:rFonts w:hint="eastAsia"/>
        </w:rPr>
        <w:t>刘子涵：《行政执法当事人承诺制度需强化实践应用》，</w:t>
      </w:r>
      <w:proofErr w:type="gramStart"/>
      <w:r>
        <w:rPr>
          <w:rFonts w:hint="eastAsia"/>
        </w:rPr>
        <w:t>载中证</w:t>
      </w:r>
      <w:proofErr w:type="gramEnd"/>
      <w:r>
        <w:rPr>
          <w:rFonts w:hint="eastAsia"/>
        </w:rPr>
        <w:t>网，</w:t>
      </w:r>
      <w:r>
        <w:rPr>
          <w:rStyle w:val="af1"/>
          <w:rFonts w:hint="eastAsia"/>
        </w:rPr>
        <w:t xml:space="preserve">https://www.cs.com.cn/xwzx/hg/202309/t20230909_6365965.html </w:t>
      </w:r>
      <w:r>
        <w:rPr>
          <w:rStyle w:val="af1"/>
          <w:rFonts w:hint="eastAsia"/>
        </w:rPr>
        <w:t>。</w:t>
      </w:r>
    </w:p>
  </w:footnote>
  <w:footnote w:id="18">
    <w:p w14:paraId="52D86090" w14:textId="77777777" w:rsidR="00203670" w:rsidRDefault="003E3946">
      <w:pPr>
        <w:pStyle w:val="ab"/>
      </w:pPr>
      <w:r>
        <w:rPr>
          <w:rStyle w:val="af3"/>
        </w:rPr>
        <w:footnoteRef/>
      </w:r>
      <w:r>
        <w:t xml:space="preserve"> </w:t>
      </w:r>
      <w:r>
        <w:rPr>
          <w:rFonts w:hint="eastAsia"/>
        </w:rPr>
        <w:t>中国证监会行政处罚决定书，〔</w:t>
      </w:r>
      <w:r>
        <w:rPr>
          <w:rFonts w:hint="eastAsia"/>
        </w:rPr>
        <w:t>2022</w:t>
      </w:r>
      <w:r>
        <w:rPr>
          <w:rFonts w:hint="eastAsia"/>
        </w:rPr>
        <w:t>〕</w:t>
      </w:r>
      <w:r>
        <w:rPr>
          <w:rFonts w:hint="eastAsia"/>
        </w:rPr>
        <w:t>6</w:t>
      </w:r>
      <w:r>
        <w:rPr>
          <w:rFonts w:hint="eastAsia"/>
        </w:rPr>
        <w:t>号。</w:t>
      </w:r>
    </w:p>
  </w:footnote>
  <w:footnote w:id="19">
    <w:p w14:paraId="51FD6634" w14:textId="77777777" w:rsidR="00203670" w:rsidRDefault="003E3946">
      <w:pPr>
        <w:pStyle w:val="ab"/>
      </w:pPr>
      <w:r>
        <w:rPr>
          <w:rStyle w:val="af3"/>
        </w:rPr>
        <w:footnoteRef/>
      </w:r>
      <w:r>
        <w:t xml:space="preserve"> </w:t>
      </w:r>
      <w:r>
        <w:rPr>
          <w:rFonts w:hint="eastAsia"/>
        </w:rPr>
        <w:t>《上海证监局会计监管通讯</w:t>
      </w:r>
      <w:r>
        <w:rPr>
          <w:rFonts w:hint="eastAsia"/>
        </w:rPr>
        <w:t xml:space="preserve"> </w:t>
      </w:r>
      <w:r>
        <w:rPr>
          <w:rFonts w:hint="eastAsia"/>
        </w:rPr>
        <w:t>二〇二五年第一期》，载上海监管局会计监管通讯，</w:t>
      </w:r>
      <w:r>
        <w:rPr>
          <w:rStyle w:val="af1"/>
          <w:rFonts w:hint="eastAsia"/>
        </w:rPr>
        <w:t>https://www.csrc.gov.cn/shanghai/c105572/c7544626/content.shtml</w:t>
      </w:r>
      <w:r>
        <w:rPr>
          <w:rStyle w:val="af1"/>
          <w:rFonts w:hint="eastAsia"/>
        </w:rPr>
        <w:t>。</w:t>
      </w:r>
    </w:p>
  </w:footnote>
  <w:footnote w:id="20">
    <w:p w14:paraId="0146B655" w14:textId="77777777" w:rsidR="00203670" w:rsidRDefault="003E3946">
      <w:pPr>
        <w:pStyle w:val="ab"/>
      </w:pPr>
      <w:r>
        <w:rPr>
          <w:rStyle w:val="af3"/>
        </w:rPr>
        <w:footnoteRef/>
      </w:r>
      <w:r>
        <w:rPr>
          <w:rFonts w:ascii="Calibri" w:eastAsia="宋体" w:hAnsi="Calibri" w:cs="Times New Roman" w:hint="eastAsia"/>
        </w:rPr>
        <w:t xml:space="preserve"> See </w:t>
      </w:r>
      <w:r>
        <w:rPr>
          <w:rFonts w:ascii="Calibri" w:eastAsia="宋体" w:hAnsi="Calibri" w:cs="Times New Roman"/>
          <w:i/>
          <w:iCs/>
        </w:rPr>
        <w:t>PCAOB Publishes New Supplement to Staff Guidance Concerning the Remediation Process</w:t>
      </w:r>
      <w:r>
        <w:rPr>
          <w:rFonts w:ascii="Calibri" w:eastAsia="宋体" w:hAnsi="Calibri" w:cs="Times New Roman" w:hint="eastAsia"/>
        </w:rPr>
        <w:t>(Oct. 31, 2024),</w:t>
      </w:r>
      <w:hyperlink r:id="rId3" w:history="1">
        <w:r>
          <w:rPr>
            <w:rStyle w:val="af1"/>
          </w:rPr>
          <w:t>https://pcaobus.org/news-events/news-releases/news-release-detail/pcaob-publishes-new-supplement-to-staff-guidance-concerning-the-remediation-process?</w:t>
        </w:r>
      </w:hyperlink>
    </w:p>
  </w:footnote>
  <w:footnote w:id="21">
    <w:p w14:paraId="10CD7B67" w14:textId="77777777" w:rsidR="00203670" w:rsidRDefault="003E3946">
      <w:pPr>
        <w:pStyle w:val="ab"/>
      </w:pPr>
      <w:r>
        <w:rPr>
          <w:rStyle w:val="af3"/>
        </w:rPr>
        <w:footnoteRef/>
      </w:r>
      <w:r>
        <w:t xml:space="preserve"> </w:t>
      </w:r>
      <w:r>
        <w:rPr>
          <w:rFonts w:hint="eastAsia"/>
        </w:rPr>
        <w:t xml:space="preserve">See </w:t>
      </w:r>
      <w:r>
        <w:rPr>
          <w:rFonts w:hint="eastAsia"/>
          <w:i/>
          <w:iCs/>
        </w:rPr>
        <w:t>Additional Insights on the Remediation Process</w:t>
      </w:r>
      <w:r>
        <w:rPr>
          <w:rFonts w:hint="eastAsia"/>
        </w:rPr>
        <w:t xml:space="preserve"> </w:t>
      </w:r>
      <w:hyperlink r:id="rId4" w:history="1">
        <w:r>
          <w:rPr>
            <w:rStyle w:val="af1"/>
          </w:rPr>
          <w:t>https://pcaobus.org/documents/remediation-spotlight.pdf</w:t>
        </w:r>
      </w:hyperlink>
    </w:p>
  </w:footnote>
  <w:footnote w:id="22">
    <w:p w14:paraId="3603CB74" w14:textId="77777777" w:rsidR="00203670" w:rsidRDefault="003E3946">
      <w:pPr>
        <w:pStyle w:val="ab"/>
        <w:rPr>
          <w:rFonts w:ascii="Times New Roman" w:eastAsia="宋体" w:hAnsi="Times New Roman" w:cs="Times New Roman"/>
          <w:szCs w:val="18"/>
        </w:rPr>
      </w:pPr>
      <w:r>
        <w:rPr>
          <w:rStyle w:val="af3"/>
        </w:rPr>
        <w:footnoteRef/>
      </w:r>
      <w:r>
        <w:t xml:space="preserve"> </w:t>
      </w:r>
      <w:r>
        <w:rPr>
          <w:rFonts w:ascii="Times New Roman" w:eastAsia="宋体" w:hAnsi="Times New Roman" w:cs="Times New Roman" w:hint="eastAsia"/>
          <w:szCs w:val="18"/>
        </w:rPr>
        <w:t xml:space="preserve">Philippe Nonet and Philip Selznick, Toward Responsive </w:t>
      </w:r>
      <w:proofErr w:type="spellStart"/>
      <w:proofErr w:type="gramStart"/>
      <w:r>
        <w:rPr>
          <w:rFonts w:ascii="Times New Roman" w:eastAsia="宋体" w:hAnsi="Times New Roman" w:cs="Times New Roman" w:hint="eastAsia"/>
          <w:szCs w:val="18"/>
        </w:rPr>
        <w:t>Law:Law</w:t>
      </w:r>
      <w:proofErr w:type="spellEnd"/>
      <w:proofErr w:type="gramEnd"/>
      <w:r>
        <w:rPr>
          <w:rFonts w:ascii="Times New Roman" w:eastAsia="宋体" w:hAnsi="Times New Roman" w:cs="Times New Roman" w:hint="eastAsia"/>
          <w:szCs w:val="18"/>
        </w:rPr>
        <w:t xml:space="preserve"> and Society in Transition, New York: Harper and Row, 1978.</w:t>
      </w:r>
    </w:p>
  </w:footnote>
  <w:footnote w:id="23">
    <w:p w14:paraId="4AA0E67D" w14:textId="77777777" w:rsidR="00203670" w:rsidRDefault="003E3946">
      <w:pPr>
        <w:pStyle w:val="ab"/>
      </w:pPr>
      <w:r>
        <w:rPr>
          <w:rStyle w:val="af3"/>
        </w:rPr>
        <w:footnoteRef/>
      </w:r>
      <w:r>
        <w:t xml:space="preserve"> </w:t>
      </w:r>
      <w:r>
        <w:rPr>
          <w:rFonts w:ascii="Times New Roman" w:eastAsia="宋体" w:hAnsi="Times New Roman" w:cs="Times New Roman"/>
          <w:szCs w:val="18"/>
        </w:rPr>
        <w:t>Ian Ayres and John Braithwaite,</w:t>
      </w:r>
      <w:r>
        <w:rPr>
          <w:rFonts w:ascii="Times New Roman" w:eastAsia="宋体" w:hAnsi="Times New Roman" w:cs="Times New Roman" w:hint="eastAsia"/>
          <w:szCs w:val="18"/>
        </w:rPr>
        <w:t xml:space="preserve"> </w:t>
      </w:r>
      <w:proofErr w:type="spellStart"/>
      <w:r>
        <w:rPr>
          <w:rFonts w:ascii="Times New Roman" w:eastAsia="宋体" w:hAnsi="Times New Roman" w:cs="Times New Roman"/>
          <w:szCs w:val="18"/>
        </w:rPr>
        <w:t>Reponsive</w:t>
      </w:r>
      <w:proofErr w:type="spellEnd"/>
      <w:r>
        <w:rPr>
          <w:rFonts w:ascii="Times New Roman" w:eastAsia="宋体" w:hAnsi="Times New Roman" w:cs="Times New Roman"/>
          <w:szCs w:val="18"/>
        </w:rPr>
        <w:t xml:space="preserve"> </w:t>
      </w:r>
      <w:proofErr w:type="spellStart"/>
      <w:proofErr w:type="gramStart"/>
      <w:r>
        <w:rPr>
          <w:rFonts w:ascii="Times New Roman" w:eastAsia="宋体" w:hAnsi="Times New Roman" w:cs="Times New Roman"/>
          <w:szCs w:val="18"/>
        </w:rPr>
        <w:t>Regulation</w:t>
      </w:r>
      <w:r>
        <w:rPr>
          <w:rFonts w:ascii="Times New Roman" w:eastAsia="宋体" w:hAnsi="Times New Roman" w:cs="Times New Roman" w:hint="eastAsia"/>
          <w:szCs w:val="18"/>
        </w:rPr>
        <w:t>:</w:t>
      </w:r>
      <w:r>
        <w:rPr>
          <w:rFonts w:ascii="Times New Roman" w:eastAsia="宋体" w:hAnsi="Times New Roman" w:cs="Times New Roman"/>
          <w:szCs w:val="18"/>
        </w:rPr>
        <w:t>Transcending</w:t>
      </w:r>
      <w:proofErr w:type="spellEnd"/>
      <w:proofErr w:type="gramEnd"/>
      <w:r>
        <w:rPr>
          <w:rFonts w:ascii="Times New Roman" w:eastAsia="宋体" w:hAnsi="Times New Roman" w:cs="Times New Roman"/>
          <w:szCs w:val="18"/>
        </w:rPr>
        <w:t xml:space="preserve"> the Deregulation Debate, Oxford: Oxford University Press</w:t>
      </w:r>
      <w:r>
        <w:rPr>
          <w:rFonts w:ascii="Times New Roman" w:eastAsia="宋体" w:hAnsi="Times New Roman" w:cs="Times New Roman" w:hint="eastAsia"/>
          <w:szCs w:val="18"/>
        </w:rPr>
        <w:t>, 1992.</w:t>
      </w:r>
    </w:p>
  </w:footnote>
  <w:footnote w:id="24">
    <w:p w14:paraId="19B71431" w14:textId="77777777" w:rsidR="00203670" w:rsidRDefault="003E3946">
      <w:pPr>
        <w:pStyle w:val="ab"/>
      </w:pPr>
      <w:r>
        <w:rPr>
          <w:rStyle w:val="af3"/>
        </w:rPr>
        <w:footnoteRef/>
      </w:r>
      <w:r>
        <w:t xml:space="preserve"> </w:t>
      </w:r>
      <w:r>
        <w:rPr>
          <w:rFonts w:hint="eastAsia"/>
        </w:rPr>
        <w:t>需要说明的是，根据我国法律体系和语境，本文对规制措施金字塔和规制策略金字塔做了适当改动，但基本逻辑和精神与原作保持一致。</w:t>
      </w:r>
    </w:p>
  </w:footnote>
  <w:footnote w:id="25">
    <w:p w14:paraId="1F8E59EB" w14:textId="77777777" w:rsidR="00203670" w:rsidRDefault="003E3946">
      <w:pPr>
        <w:snapToGrid w:val="0"/>
        <w:jc w:val="left"/>
        <w:rPr>
          <w:rFonts w:ascii="Calibri" w:eastAsia="宋体" w:hAnsi="Calibri" w:cs="Times New Roman"/>
          <w:sz w:val="18"/>
        </w:rPr>
      </w:pPr>
      <w:r>
        <w:rPr>
          <w:rFonts w:ascii="Calibri" w:eastAsia="宋体" w:hAnsi="Calibri" w:cs="Times New Roman"/>
          <w:vertAlign w:val="superscript"/>
        </w:rPr>
        <w:footnoteRef/>
      </w:r>
      <w:r>
        <w:rPr>
          <w:rFonts w:ascii="Calibri" w:eastAsia="宋体" w:hAnsi="Calibri" w:cs="Times New Roman"/>
          <w:sz w:val="18"/>
        </w:rPr>
        <w:t xml:space="preserve"> </w:t>
      </w:r>
      <w:r>
        <w:rPr>
          <w:rFonts w:ascii="Calibri" w:eastAsia="宋体" w:hAnsi="Calibri" w:cs="Times New Roman" w:hint="eastAsia"/>
          <w:sz w:val="18"/>
        </w:rPr>
        <w:t>参见郑心泓：《中美证券审计市场监管研究》，载《审计观察》，</w:t>
      </w:r>
      <w:r>
        <w:rPr>
          <w:rFonts w:ascii="Calibri" w:eastAsia="宋体" w:hAnsi="Calibri" w:cs="Times New Roman" w:hint="eastAsia"/>
          <w:sz w:val="18"/>
        </w:rPr>
        <w:t>2025</w:t>
      </w:r>
      <w:r>
        <w:rPr>
          <w:rFonts w:ascii="Calibri" w:eastAsia="宋体" w:hAnsi="Calibri" w:cs="Times New Roman" w:hint="eastAsia"/>
          <w:sz w:val="18"/>
        </w:rPr>
        <w:t>年第</w:t>
      </w:r>
      <w:r>
        <w:rPr>
          <w:rFonts w:ascii="Calibri" w:eastAsia="宋体" w:hAnsi="Calibri" w:cs="Times New Roman" w:hint="eastAsia"/>
          <w:sz w:val="18"/>
        </w:rPr>
        <w:t>7</w:t>
      </w:r>
      <w:r>
        <w:rPr>
          <w:rFonts w:ascii="Calibri" w:eastAsia="宋体" w:hAnsi="Calibri" w:cs="Times New Roman" w:hint="eastAsia"/>
          <w:sz w:val="18"/>
        </w:rPr>
        <w:t>期。</w:t>
      </w:r>
    </w:p>
  </w:footnote>
  <w:footnote w:id="26">
    <w:p w14:paraId="331C561A" w14:textId="77777777" w:rsidR="00203670" w:rsidRDefault="003E3946">
      <w:pPr>
        <w:snapToGrid w:val="0"/>
        <w:jc w:val="left"/>
        <w:rPr>
          <w:rFonts w:ascii="Calibri" w:eastAsia="宋体" w:hAnsi="Calibri" w:cs="Times New Roman"/>
          <w:sz w:val="18"/>
        </w:rPr>
      </w:pPr>
      <w:r>
        <w:rPr>
          <w:rFonts w:ascii="Calibri" w:eastAsia="宋体" w:hAnsi="Calibri" w:cs="Times New Roman"/>
          <w:vertAlign w:val="superscript"/>
        </w:rPr>
        <w:footnoteRef/>
      </w:r>
      <w:r>
        <w:rPr>
          <w:rFonts w:ascii="Calibri" w:eastAsia="宋体" w:hAnsi="Calibri" w:cs="Times New Roman"/>
          <w:sz w:val="18"/>
        </w:rPr>
        <w:t xml:space="preserve"> </w:t>
      </w:r>
      <w:r>
        <w:rPr>
          <w:rFonts w:ascii="Calibri" w:eastAsia="宋体" w:hAnsi="Calibri" w:cs="Times New Roman" w:hint="eastAsia"/>
          <w:sz w:val="18"/>
        </w:rPr>
        <w:t>徐文鸣：《证券行政执法当事人承诺制度的法经济学分析》，载《华南师范大学学报</w:t>
      </w:r>
      <w:r>
        <w:rPr>
          <w:rFonts w:ascii="Calibri" w:eastAsia="宋体" w:hAnsi="Calibri" w:cs="Times New Roman" w:hint="eastAsia"/>
          <w:sz w:val="18"/>
        </w:rPr>
        <w:t>(</w:t>
      </w:r>
      <w:r>
        <w:rPr>
          <w:rFonts w:ascii="Calibri" w:eastAsia="宋体" w:hAnsi="Calibri" w:cs="Times New Roman" w:hint="eastAsia"/>
          <w:sz w:val="18"/>
        </w:rPr>
        <w:t>社会科学版</w:t>
      </w:r>
      <w:r>
        <w:rPr>
          <w:rFonts w:ascii="Calibri" w:eastAsia="宋体" w:hAnsi="Calibri" w:cs="Times New Roman" w:hint="eastAsia"/>
          <w:sz w:val="18"/>
        </w:rPr>
        <w:t>)</w:t>
      </w:r>
      <w:r>
        <w:rPr>
          <w:rFonts w:ascii="Calibri" w:eastAsia="宋体" w:hAnsi="Calibri" w:cs="Times New Roman" w:hint="eastAsia"/>
          <w:sz w:val="18"/>
        </w:rPr>
        <w:t>》</w:t>
      </w:r>
      <w:r>
        <w:rPr>
          <w:rFonts w:ascii="Calibri" w:eastAsia="宋体" w:hAnsi="Calibri" w:cs="Times New Roman" w:hint="eastAsia"/>
          <w:sz w:val="18"/>
        </w:rPr>
        <w:t>2024</w:t>
      </w:r>
      <w:r>
        <w:rPr>
          <w:rFonts w:ascii="Calibri" w:eastAsia="宋体" w:hAnsi="Calibri" w:cs="Times New Roman" w:hint="eastAsia"/>
          <w:sz w:val="18"/>
        </w:rPr>
        <w:t>年第</w:t>
      </w:r>
      <w:r>
        <w:rPr>
          <w:rFonts w:ascii="Calibri" w:eastAsia="宋体" w:hAnsi="Calibri" w:cs="Times New Roman" w:hint="eastAsia"/>
          <w:sz w:val="18"/>
        </w:rPr>
        <w:t>6</w:t>
      </w:r>
      <w:r>
        <w:rPr>
          <w:rFonts w:ascii="Calibri" w:eastAsia="宋体" w:hAnsi="Calibri" w:cs="Times New Roman" w:hint="eastAsia"/>
          <w:sz w:val="18"/>
        </w:rPr>
        <w:t>期。</w:t>
      </w:r>
    </w:p>
  </w:footnote>
  <w:footnote w:id="27">
    <w:p w14:paraId="611FF318" w14:textId="77777777" w:rsidR="00203670" w:rsidRDefault="003E3946">
      <w:pPr>
        <w:snapToGrid w:val="0"/>
        <w:jc w:val="left"/>
        <w:rPr>
          <w:rFonts w:ascii="Calibri" w:eastAsia="宋体" w:hAnsi="Calibri" w:cs="Times New Roman"/>
          <w:sz w:val="18"/>
        </w:rPr>
      </w:pPr>
      <w:r>
        <w:rPr>
          <w:rFonts w:ascii="Calibri" w:eastAsia="宋体" w:hAnsi="Calibri" w:cs="Times New Roman"/>
          <w:vertAlign w:val="superscript"/>
        </w:rPr>
        <w:footnoteRef/>
      </w:r>
      <w:r>
        <w:rPr>
          <w:rFonts w:ascii="Calibri" w:eastAsia="宋体" w:hAnsi="Calibri" w:cs="Times New Roman"/>
          <w:sz w:val="18"/>
        </w:rPr>
        <w:t xml:space="preserve"> </w:t>
      </w:r>
      <w:proofErr w:type="gramStart"/>
      <w:r>
        <w:rPr>
          <w:rFonts w:ascii="Calibri" w:eastAsia="宋体" w:hAnsi="Calibri" w:cs="Times New Roman" w:hint="eastAsia"/>
          <w:sz w:val="18"/>
        </w:rPr>
        <w:t>成协中</w:t>
      </w:r>
      <w:proofErr w:type="gramEnd"/>
      <w:r>
        <w:rPr>
          <w:rFonts w:ascii="Calibri" w:eastAsia="宋体" w:hAnsi="Calibri" w:cs="Times New Roman" w:hint="eastAsia"/>
          <w:sz w:val="18"/>
        </w:rPr>
        <w:t>，李诗勤：《国家治理与行政法治</w:t>
      </w:r>
      <w:r>
        <w:rPr>
          <w:rFonts w:ascii="Calibri" w:eastAsia="宋体" w:hAnsi="Calibri" w:cs="Times New Roman" w:hint="eastAsia"/>
          <w:sz w:val="18"/>
        </w:rPr>
        <w:t>|</w:t>
      </w:r>
      <w:r>
        <w:rPr>
          <w:rFonts w:ascii="Calibri" w:eastAsia="宋体" w:hAnsi="Calibri" w:cs="Times New Roman" w:hint="eastAsia"/>
          <w:sz w:val="18"/>
        </w:rPr>
        <w:t>行政执法当事人承诺制度：适用、问题与完善》，载中国政法大学法治政府研究院，</w:t>
      </w:r>
      <w:r>
        <w:rPr>
          <w:rFonts w:ascii="Calibri" w:eastAsia="宋体" w:hAnsi="Calibri" w:cs="Times New Roman" w:hint="eastAsia"/>
          <w:sz w:val="18"/>
        </w:rPr>
        <w:t>https://fzzfyjy.cupl.edu.cn/info/1021/16588.htm</w:t>
      </w:r>
      <w:r>
        <w:rPr>
          <w:rFonts w:ascii="Calibri" w:eastAsia="宋体" w:hAnsi="Calibri" w:cs="Times New Roman" w:hint="eastAsia"/>
          <w:sz w:val="18"/>
        </w:rPr>
        <w:t>。</w:t>
      </w:r>
    </w:p>
  </w:footnote>
  <w:footnote w:id="28">
    <w:p w14:paraId="21BDBCC8" w14:textId="4BB0FF10" w:rsidR="00203670" w:rsidRDefault="003E3946">
      <w:pPr>
        <w:pStyle w:val="ab"/>
      </w:pPr>
      <w:r w:rsidRPr="003C7AAF">
        <w:rPr>
          <w:rStyle w:val="af3"/>
        </w:rPr>
        <w:footnoteRef/>
      </w:r>
      <w:r w:rsidRPr="003C7AAF">
        <w:t xml:space="preserve"> </w:t>
      </w:r>
      <w:r w:rsidRPr="003C7AAF">
        <w:rPr>
          <w:rFonts w:hint="eastAsia"/>
        </w:rPr>
        <w:t xml:space="preserve">See </w:t>
      </w:r>
      <w:r w:rsidRPr="003C7AAF">
        <w:rPr>
          <w:rFonts w:hint="eastAsia"/>
          <w:i/>
          <w:iCs/>
        </w:rPr>
        <w:t xml:space="preserve">Audit Quality Review(overview) </w:t>
      </w:r>
      <w:r w:rsidRPr="003C7AAF">
        <w:t>https://www.frc.org.uk/library/supervision/audit-quality-review/audit-quality-review-overview/</w:t>
      </w:r>
      <w:r>
        <w:rPr>
          <w:rFonts w:hint="eastAsia"/>
        </w:rPr>
        <w:t>（</w:t>
      </w:r>
      <w:r>
        <w:rPr>
          <w:rFonts w:hint="eastAsia"/>
        </w:rPr>
        <w:t>最后访问日期</w:t>
      </w:r>
      <w:r>
        <w:rPr>
          <w:rFonts w:hint="eastAsia"/>
        </w:rPr>
        <w:t>2025</w:t>
      </w:r>
      <w:r>
        <w:rPr>
          <w:rFonts w:hint="eastAsia"/>
        </w:rPr>
        <w:t>年</w:t>
      </w:r>
      <w:r>
        <w:rPr>
          <w:rFonts w:hint="eastAsia"/>
        </w:rPr>
        <w:t>11</w:t>
      </w:r>
      <w:r>
        <w:rPr>
          <w:rFonts w:hint="eastAsia"/>
        </w:rPr>
        <w:t>月</w:t>
      </w:r>
      <w:r>
        <w:rPr>
          <w:rFonts w:hint="eastAsia"/>
        </w:rPr>
        <w:t>10</w:t>
      </w:r>
      <w:r>
        <w:rPr>
          <w:rFonts w:hint="eastAsia"/>
        </w:rPr>
        <w:t>日）。</w:t>
      </w:r>
    </w:p>
  </w:footnote>
  <w:footnote w:id="29">
    <w:p w14:paraId="07000F10" w14:textId="77777777" w:rsidR="00203670" w:rsidRDefault="003E3946">
      <w:pPr>
        <w:snapToGrid w:val="0"/>
        <w:jc w:val="left"/>
        <w:rPr>
          <w:rFonts w:ascii="Calibri" w:eastAsia="宋体" w:hAnsi="Calibri" w:cs="Times New Roman"/>
          <w:sz w:val="18"/>
        </w:rPr>
      </w:pPr>
      <w:r>
        <w:rPr>
          <w:rFonts w:ascii="Calibri" w:eastAsia="宋体" w:hAnsi="Calibri" w:cs="Times New Roman"/>
          <w:vertAlign w:val="superscript"/>
        </w:rPr>
        <w:footnoteRef/>
      </w:r>
      <w:r>
        <w:rPr>
          <w:rFonts w:ascii="Calibri" w:eastAsia="宋体" w:hAnsi="Calibri" w:cs="Times New Roman"/>
          <w:sz w:val="18"/>
        </w:rPr>
        <w:t xml:space="preserve"> </w:t>
      </w:r>
      <w:r>
        <w:rPr>
          <w:rFonts w:ascii="Calibri" w:eastAsia="宋体" w:hAnsi="Calibri" w:cs="Times New Roman" w:hint="eastAsia"/>
          <w:sz w:val="18"/>
        </w:rPr>
        <w:t>参见蒋辉宇，</w:t>
      </w:r>
      <w:proofErr w:type="gramStart"/>
      <w:r>
        <w:rPr>
          <w:rFonts w:ascii="Calibri" w:eastAsia="宋体" w:hAnsi="Calibri" w:cs="Times New Roman" w:hint="eastAsia"/>
          <w:sz w:val="18"/>
        </w:rPr>
        <w:t>杲</w:t>
      </w:r>
      <w:proofErr w:type="gramEnd"/>
      <w:r>
        <w:rPr>
          <w:rFonts w:ascii="Calibri" w:eastAsia="宋体" w:hAnsi="Calibri" w:cs="Times New Roman" w:hint="eastAsia"/>
          <w:sz w:val="18"/>
        </w:rPr>
        <w:t>燕林：《我国会计师事务所证券虚假陈述侵权责任制度完善研究》，载《青岛科技大学学报</w:t>
      </w:r>
      <w:r>
        <w:rPr>
          <w:rFonts w:ascii="Calibri" w:eastAsia="宋体" w:hAnsi="Calibri" w:cs="Times New Roman" w:hint="eastAsia"/>
          <w:sz w:val="18"/>
        </w:rPr>
        <w:t>(</w:t>
      </w:r>
      <w:r>
        <w:rPr>
          <w:rFonts w:ascii="Calibri" w:eastAsia="宋体" w:hAnsi="Calibri" w:cs="Times New Roman" w:hint="eastAsia"/>
          <w:sz w:val="18"/>
        </w:rPr>
        <w:t>社会科学版</w:t>
      </w:r>
      <w:r>
        <w:rPr>
          <w:rFonts w:ascii="Calibri" w:eastAsia="宋体" w:hAnsi="Calibri" w:cs="Times New Roman" w:hint="eastAsia"/>
          <w:sz w:val="18"/>
        </w:rPr>
        <w:t>)</w:t>
      </w:r>
      <w:r>
        <w:rPr>
          <w:rFonts w:ascii="Calibri" w:eastAsia="宋体" w:hAnsi="Calibri" w:cs="Times New Roman" w:hint="eastAsia"/>
          <w:sz w:val="18"/>
        </w:rPr>
        <w:t>》，</w:t>
      </w:r>
      <w:r>
        <w:rPr>
          <w:rFonts w:ascii="Calibri" w:eastAsia="宋体" w:hAnsi="Calibri" w:cs="Times New Roman" w:hint="eastAsia"/>
          <w:sz w:val="18"/>
        </w:rPr>
        <w:t>2023</w:t>
      </w:r>
      <w:r>
        <w:rPr>
          <w:rFonts w:ascii="Calibri" w:eastAsia="宋体" w:hAnsi="Calibri" w:cs="Times New Roman" w:hint="eastAsia"/>
          <w:sz w:val="18"/>
        </w:rPr>
        <w:t>年第</w:t>
      </w:r>
      <w:r>
        <w:rPr>
          <w:rFonts w:ascii="Calibri" w:eastAsia="宋体" w:hAnsi="Calibri" w:cs="Times New Roman" w:hint="eastAsia"/>
          <w:sz w:val="18"/>
        </w:rPr>
        <w:t>3</w:t>
      </w:r>
      <w:r>
        <w:rPr>
          <w:rFonts w:ascii="Calibri" w:eastAsia="宋体" w:hAnsi="Calibri" w:cs="Times New Roman" w:hint="eastAsia"/>
          <w:sz w:val="18"/>
        </w:rPr>
        <w:t>期。</w:t>
      </w:r>
    </w:p>
    <w:p w14:paraId="284E9A74" w14:textId="77777777" w:rsidR="00203670" w:rsidRDefault="00203670">
      <w:pPr>
        <w:snapToGrid w:val="0"/>
        <w:jc w:val="left"/>
        <w:rPr>
          <w:rFonts w:ascii="Calibri" w:eastAsia="宋体" w:hAnsi="Calibri" w:cs="Times New Roman"/>
          <w:sz w:val="18"/>
        </w:rPr>
      </w:pPr>
    </w:p>
  </w:footnote>
  <w:footnote w:id="30">
    <w:p w14:paraId="6A880C1C" w14:textId="77777777" w:rsidR="00203670" w:rsidRDefault="003E3946">
      <w:pPr>
        <w:snapToGrid w:val="0"/>
        <w:jc w:val="left"/>
        <w:rPr>
          <w:rFonts w:ascii="Calibri" w:eastAsia="宋体" w:hAnsi="Calibri" w:cs="Times New Roman"/>
          <w:sz w:val="18"/>
        </w:rPr>
      </w:pPr>
      <w:r>
        <w:rPr>
          <w:rFonts w:ascii="Calibri" w:eastAsia="宋体" w:hAnsi="Calibri" w:cs="Times New Roman"/>
          <w:vertAlign w:val="superscript"/>
        </w:rPr>
        <w:footnoteRef/>
      </w:r>
      <w:r>
        <w:rPr>
          <w:rFonts w:ascii="Calibri" w:eastAsia="宋体" w:hAnsi="Calibri" w:cs="Times New Roman"/>
          <w:sz w:val="18"/>
        </w:rPr>
        <w:t xml:space="preserve"> </w:t>
      </w:r>
      <w:r>
        <w:rPr>
          <w:rFonts w:ascii="Calibri" w:eastAsia="宋体" w:hAnsi="Calibri" w:cs="Times New Roman" w:hint="eastAsia"/>
          <w:sz w:val="18"/>
        </w:rPr>
        <w:t>参见秦荣生：《完善会计师事务所行政处罚制度促进注册会计师行业健康发展》，载《审计观察》，</w:t>
      </w:r>
      <w:r>
        <w:rPr>
          <w:rFonts w:ascii="Calibri" w:eastAsia="宋体" w:hAnsi="Calibri" w:cs="Times New Roman" w:hint="eastAsia"/>
          <w:sz w:val="18"/>
        </w:rPr>
        <w:t>2025</w:t>
      </w:r>
      <w:r>
        <w:rPr>
          <w:rFonts w:ascii="Calibri" w:eastAsia="宋体" w:hAnsi="Calibri" w:cs="Times New Roman" w:hint="eastAsia"/>
          <w:sz w:val="18"/>
        </w:rPr>
        <w:t>年第</w:t>
      </w:r>
      <w:r>
        <w:rPr>
          <w:rFonts w:ascii="Calibri" w:eastAsia="宋体" w:hAnsi="Calibri" w:cs="Times New Roman" w:hint="eastAsia"/>
          <w:sz w:val="18"/>
        </w:rPr>
        <w:t>4</w:t>
      </w:r>
      <w:r>
        <w:rPr>
          <w:rFonts w:ascii="Calibri" w:eastAsia="宋体" w:hAnsi="Calibri" w:cs="Times New Roman" w:hint="eastAsia"/>
          <w:sz w:val="18"/>
        </w:rPr>
        <w:t>期。</w:t>
      </w:r>
    </w:p>
  </w:footnote>
  <w:footnote w:id="31">
    <w:p w14:paraId="00458251" w14:textId="77777777" w:rsidR="00203670" w:rsidRDefault="003E3946">
      <w:pPr>
        <w:snapToGrid w:val="0"/>
        <w:jc w:val="left"/>
        <w:rPr>
          <w:rFonts w:ascii="Calibri" w:eastAsia="宋体" w:hAnsi="Calibri" w:cs="Times New Roman"/>
          <w:sz w:val="18"/>
        </w:rPr>
      </w:pPr>
      <w:r>
        <w:rPr>
          <w:rFonts w:ascii="Calibri" w:eastAsia="宋体" w:hAnsi="Calibri" w:cs="Times New Roman"/>
          <w:vertAlign w:val="superscript"/>
        </w:rPr>
        <w:footnoteRef/>
      </w:r>
      <w:r>
        <w:rPr>
          <w:rFonts w:ascii="Calibri" w:eastAsia="宋体" w:hAnsi="Calibri" w:cs="Times New Roman"/>
          <w:sz w:val="18"/>
        </w:rPr>
        <w:t xml:space="preserve"> </w:t>
      </w:r>
      <w:r>
        <w:rPr>
          <w:rFonts w:ascii="Calibri" w:eastAsia="宋体" w:hAnsi="Calibri" w:cs="Times New Roman" w:hint="eastAsia"/>
          <w:sz w:val="18"/>
        </w:rPr>
        <w:t>参见薛爽，高琪，徐锐：《资格罚对注册会计师行业竞争格局与审计质量的影响》，载《财会月刊》，</w:t>
      </w:r>
      <w:r>
        <w:rPr>
          <w:rFonts w:ascii="Calibri" w:eastAsia="宋体" w:hAnsi="Calibri" w:cs="Times New Roman" w:hint="eastAsia"/>
          <w:sz w:val="18"/>
        </w:rPr>
        <w:t>2025</w:t>
      </w:r>
      <w:r>
        <w:rPr>
          <w:rFonts w:ascii="Calibri" w:eastAsia="宋体" w:hAnsi="Calibri" w:cs="Times New Roman" w:hint="eastAsia"/>
          <w:sz w:val="18"/>
        </w:rPr>
        <w:t>年。</w:t>
      </w:r>
    </w:p>
  </w:footnote>
  <w:footnote w:id="32">
    <w:p w14:paraId="05A4FF5F" w14:textId="77777777" w:rsidR="00203670" w:rsidRDefault="003E3946">
      <w:pPr>
        <w:snapToGrid w:val="0"/>
        <w:jc w:val="left"/>
        <w:rPr>
          <w:rFonts w:ascii="Calibri" w:eastAsia="宋体" w:hAnsi="Calibri" w:cs="Times New Roman"/>
          <w:sz w:val="18"/>
        </w:rPr>
      </w:pPr>
      <w:r>
        <w:rPr>
          <w:rFonts w:ascii="Calibri" w:eastAsia="宋体" w:hAnsi="Calibri" w:cs="Times New Roman"/>
          <w:vertAlign w:val="superscript"/>
        </w:rPr>
        <w:footnoteRef/>
      </w:r>
      <w:r>
        <w:rPr>
          <w:rFonts w:ascii="Calibri" w:eastAsia="宋体" w:hAnsi="Calibri" w:cs="Times New Roman"/>
          <w:sz w:val="18"/>
        </w:rPr>
        <w:t xml:space="preserve"> </w:t>
      </w:r>
      <w:r>
        <w:rPr>
          <w:rFonts w:ascii="Calibri" w:eastAsia="宋体" w:hAnsi="Calibri" w:cs="Times New Roman" w:hint="eastAsia"/>
          <w:sz w:val="18"/>
        </w:rPr>
        <w:t>参见郑心泓：《中美证券审计市场监管研究》，载《审计观察》，</w:t>
      </w:r>
      <w:r>
        <w:rPr>
          <w:rFonts w:ascii="Calibri" w:eastAsia="宋体" w:hAnsi="Calibri" w:cs="Times New Roman" w:hint="eastAsia"/>
          <w:sz w:val="18"/>
        </w:rPr>
        <w:t>2025</w:t>
      </w:r>
      <w:r>
        <w:rPr>
          <w:rFonts w:ascii="Calibri" w:eastAsia="宋体" w:hAnsi="Calibri" w:cs="Times New Roman" w:hint="eastAsia"/>
          <w:sz w:val="18"/>
        </w:rPr>
        <w:t>年第</w:t>
      </w:r>
      <w:r>
        <w:rPr>
          <w:rFonts w:ascii="Calibri" w:eastAsia="宋体" w:hAnsi="Calibri" w:cs="Times New Roman" w:hint="eastAsia"/>
          <w:sz w:val="18"/>
        </w:rPr>
        <w:t>7</w:t>
      </w:r>
      <w:r>
        <w:rPr>
          <w:rFonts w:ascii="Calibri" w:eastAsia="宋体" w:hAnsi="Calibri" w:cs="Times New Roman" w:hint="eastAsia"/>
          <w:sz w:val="18"/>
        </w:rPr>
        <w:t>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340D" w14:textId="77777777" w:rsidR="00870118" w:rsidRDefault="0087011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4D97" w14:textId="77777777" w:rsidR="00870118" w:rsidRDefault="0087011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3297" w14:textId="77777777" w:rsidR="00870118" w:rsidRDefault="0087011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CE8BD0"/>
    <w:multiLevelType w:val="singleLevel"/>
    <w:tmpl w:val="D3CE8BD0"/>
    <w:lvl w:ilvl="0">
      <w:start w:val="1"/>
      <w:numFmt w:val="chineseCounting"/>
      <w:suff w:val="nothing"/>
      <w:lvlText w:val="（%1）"/>
      <w:lvlJc w:val="left"/>
      <w:rPr>
        <w:rFonts w:hint="eastAsia"/>
      </w:rPr>
    </w:lvl>
  </w:abstractNum>
  <w:abstractNum w:abstractNumId="1" w15:restartNumberingAfterBreak="0">
    <w:nsid w:val="1F736207"/>
    <w:multiLevelType w:val="singleLevel"/>
    <w:tmpl w:val="1F736207"/>
    <w:lvl w:ilvl="0">
      <w:start w:val="1"/>
      <w:numFmt w:val="decimal"/>
      <w:suff w:val="nothing"/>
      <w:lvlText w:val="（%1）"/>
      <w:lvlJc w:val="left"/>
    </w:lvl>
  </w:abstractNum>
  <w:num w:numId="1" w16cid:durableId="2077433567">
    <w:abstractNumId w:val="1"/>
  </w:num>
  <w:num w:numId="2" w16cid:durableId="4175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5OWExMGNjN2RhNjQ0NTc1YWE1ZWNjNjA0YzYxYTQifQ=="/>
  </w:docVars>
  <w:rsids>
    <w:rsidRoot w:val="00DC3432"/>
    <w:rsid w:val="00041B72"/>
    <w:rsid w:val="00057695"/>
    <w:rsid w:val="0006058D"/>
    <w:rsid w:val="00060F77"/>
    <w:rsid w:val="00064B11"/>
    <w:rsid w:val="000A3F74"/>
    <w:rsid w:val="000A7B30"/>
    <w:rsid w:val="000B5D2F"/>
    <w:rsid w:val="000D32AD"/>
    <w:rsid w:val="000E0E53"/>
    <w:rsid w:val="000F250F"/>
    <w:rsid w:val="00104CF1"/>
    <w:rsid w:val="001A594F"/>
    <w:rsid w:val="001B6208"/>
    <w:rsid w:val="001C463E"/>
    <w:rsid w:val="00203670"/>
    <w:rsid w:val="002207CA"/>
    <w:rsid w:val="002306F4"/>
    <w:rsid w:val="002649B0"/>
    <w:rsid w:val="002A542A"/>
    <w:rsid w:val="00300969"/>
    <w:rsid w:val="00311D68"/>
    <w:rsid w:val="00323882"/>
    <w:rsid w:val="0035085C"/>
    <w:rsid w:val="003542AE"/>
    <w:rsid w:val="003555EB"/>
    <w:rsid w:val="0038460C"/>
    <w:rsid w:val="0039785D"/>
    <w:rsid w:val="003C0472"/>
    <w:rsid w:val="003C05C8"/>
    <w:rsid w:val="003C7AAF"/>
    <w:rsid w:val="003D3114"/>
    <w:rsid w:val="003E3946"/>
    <w:rsid w:val="003F6CCE"/>
    <w:rsid w:val="00440265"/>
    <w:rsid w:val="00506E5B"/>
    <w:rsid w:val="00541F42"/>
    <w:rsid w:val="00554E7A"/>
    <w:rsid w:val="00565A05"/>
    <w:rsid w:val="005B0792"/>
    <w:rsid w:val="005D498E"/>
    <w:rsid w:val="00622F76"/>
    <w:rsid w:val="00633A22"/>
    <w:rsid w:val="0067105C"/>
    <w:rsid w:val="006724D1"/>
    <w:rsid w:val="0067691A"/>
    <w:rsid w:val="006D595D"/>
    <w:rsid w:val="006D797F"/>
    <w:rsid w:val="006F17A0"/>
    <w:rsid w:val="00711AC3"/>
    <w:rsid w:val="00717230"/>
    <w:rsid w:val="00720CC0"/>
    <w:rsid w:val="00730185"/>
    <w:rsid w:val="00771054"/>
    <w:rsid w:val="007A3A8C"/>
    <w:rsid w:val="00823155"/>
    <w:rsid w:val="00845BFC"/>
    <w:rsid w:val="00865A08"/>
    <w:rsid w:val="00866001"/>
    <w:rsid w:val="00870118"/>
    <w:rsid w:val="008744C8"/>
    <w:rsid w:val="008A57F1"/>
    <w:rsid w:val="008F2D90"/>
    <w:rsid w:val="0094689E"/>
    <w:rsid w:val="00970309"/>
    <w:rsid w:val="00972B8F"/>
    <w:rsid w:val="009C45CA"/>
    <w:rsid w:val="009D37B0"/>
    <w:rsid w:val="00A24609"/>
    <w:rsid w:val="00A315D2"/>
    <w:rsid w:val="00A4251E"/>
    <w:rsid w:val="00A457EC"/>
    <w:rsid w:val="00AA40A1"/>
    <w:rsid w:val="00AB4C4C"/>
    <w:rsid w:val="00B52690"/>
    <w:rsid w:val="00B807F3"/>
    <w:rsid w:val="00BC7D67"/>
    <w:rsid w:val="00C226AD"/>
    <w:rsid w:val="00C823F0"/>
    <w:rsid w:val="00C90AB6"/>
    <w:rsid w:val="00D02468"/>
    <w:rsid w:val="00D563B7"/>
    <w:rsid w:val="00D87031"/>
    <w:rsid w:val="00DC3432"/>
    <w:rsid w:val="00E16ADD"/>
    <w:rsid w:val="00E47189"/>
    <w:rsid w:val="00E76819"/>
    <w:rsid w:val="00EB7D64"/>
    <w:rsid w:val="00ED46C3"/>
    <w:rsid w:val="00ED5986"/>
    <w:rsid w:val="00F04AC7"/>
    <w:rsid w:val="00F426A7"/>
    <w:rsid w:val="00F82A96"/>
    <w:rsid w:val="00F91D37"/>
    <w:rsid w:val="00FC72AD"/>
    <w:rsid w:val="012810B4"/>
    <w:rsid w:val="01C0753F"/>
    <w:rsid w:val="01E943A0"/>
    <w:rsid w:val="0236335D"/>
    <w:rsid w:val="024E4B4B"/>
    <w:rsid w:val="0273258E"/>
    <w:rsid w:val="02866093"/>
    <w:rsid w:val="02BE582C"/>
    <w:rsid w:val="03092820"/>
    <w:rsid w:val="034B11BF"/>
    <w:rsid w:val="03D63C1E"/>
    <w:rsid w:val="04036328"/>
    <w:rsid w:val="0449381C"/>
    <w:rsid w:val="04912DFD"/>
    <w:rsid w:val="058A7C48"/>
    <w:rsid w:val="05AF76AE"/>
    <w:rsid w:val="05C2565F"/>
    <w:rsid w:val="0639341C"/>
    <w:rsid w:val="064F49ED"/>
    <w:rsid w:val="065A1D10"/>
    <w:rsid w:val="07922496"/>
    <w:rsid w:val="07AF43CA"/>
    <w:rsid w:val="086E3851"/>
    <w:rsid w:val="08AE1E9F"/>
    <w:rsid w:val="08B66FA6"/>
    <w:rsid w:val="08CE0793"/>
    <w:rsid w:val="091C14FF"/>
    <w:rsid w:val="095073FA"/>
    <w:rsid w:val="099B7EFF"/>
    <w:rsid w:val="09AB63DF"/>
    <w:rsid w:val="09F00295"/>
    <w:rsid w:val="0A0124A3"/>
    <w:rsid w:val="0A2368BD"/>
    <w:rsid w:val="0AB3797D"/>
    <w:rsid w:val="0AC736EC"/>
    <w:rsid w:val="0AF626E7"/>
    <w:rsid w:val="0B112BB9"/>
    <w:rsid w:val="0C3A618D"/>
    <w:rsid w:val="0CD0453B"/>
    <w:rsid w:val="0D5374B9"/>
    <w:rsid w:val="0DB014B9"/>
    <w:rsid w:val="0E082052"/>
    <w:rsid w:val="0E100F06"/>
    <w:rsid w:val="0E455054"/>
    <w:rsid w:val="0E527771"/>
    <w:rsid w:val="0E5E4367"/>
    <w:rsid w:val="0E654924"/>
    <w:rsid w:val="0EAA4EB7"/>
    <w:rsid w:val="0EC05839"/>
    <w:rsid w:val="0EF44384"/>
    <w:rsid w:val="0EFD148A"/>
    <w:rsid w:val="0F165D46"/>
    <w:rsid w:val="0F455FDA"/>
    <w:rsid w:val="0F490B74"/>
    <w:rsid w:val="0F826CDC"/>
    <w:rsid w:val="0F931DEF"/>
    <w:rsid w:val="0FB35FED"/>
    <w:rsid w:val="10083D71"/>
    <w:rsid w:val="10EA61A1"/>
    <w:rsid w:val="11350A9B"/>
    <w:rsid w:val="118B12F1"/>
    <w:rsid w:val="120D40DA"/>
    <w:rsid w:val="12145AD9"/>
    <w:rsid w:val="125E2397"/>
    <w:rsid w:val="132F0080"/>
    <w:rsid w:val="14C34F24"/>
    <w:rsid w:val="14F51ED8"/>
    <w:rsid w:val="1507769A"/>
    <w:rsid w:val="15B14D7D"/>
    <w:rsid w:val="15D13671"/>
    <w:rsid w:val="15E21042"/>
    <w:rsid w:val="16414353"/>
    <w:rsid w:val="16810304"/>
    <w:rsid w:val="1683496B"/>
    <w:rsid w:val="16B0760D"/>
    <w:rsid w:val="16DE6045"/>
    <w:rsid w:val="170A508C"/>
    <w:rsid w:val="17190E2C"/>
    <w:rsid w:val="171952CF"/>
    <w:rsid w:val="17377504"/>
    <w:rsid w:val="1743234C"/>
    <w:rsid w:val="176302F9"/>
    <w:rsid w:val="17A619E9"/>
    <w:rsid w:val="17C422E5"/>
    <w:rsid w:val="17CA481C"/>
    <w:rsid w:val="17EE22B8"/>
    <w:rsid w:val="18865870"/>
    <w:rsid w:val="188D1AD1"/>
    <w:rsid w:val="18E92A80"/>
    <w:rsid w:val="18F619FF"/>
    <w:rsid w:val="19102702"/>
    <w:rsid w:val="19B23255"/>
    <w:rsid w:val="19C808E7"/>
    <w:rsid w:val="1AA255DC"/>
    <w:rsid w:val="1AF23E6D"/>
    <w:rsid w:val="1B506DE6"/>
    <w:rsid w:val="1B9273FE"/>
    <w:rsid w:val="1BDE2644"/>
    <w:rsid w:val="1C0E5D52"/>
    <w:rsid w:val="1C281B11"/>
    <w:rsid w:val="1C3D736A"/>
    <w:rsid w:val="1C650A0C"/>
    <w:rsid w:val="1C7A05BE"/>
    <w:rsid w:val="1CB810E7"/>
    <w:rsid w:val="1D2F1AA7"/>
    <w:rsid w:val="1D835251"/>
    <w:rsid w:val="1DC064A5"/>
    <w:rsid w:val="1E5B5AA9"/>
    <w:rsid w:val="1E5B61CE"/>
    <w:rsid w:val="1E8D0B36"/>
    <w:rsid w:val="1EBD0C36"/>
    <w:rsid w:val="1F1D16D5"/>
    <w:rsid w:val="1F2D3F8F"/>
    <w:rsid w:val="1F3C1B5B"/>
    <w:rsid w:val="1F7F0567"/>
    <w:rsid w:val="1F83778A"/>
    <w:rsid w:val="1FA140B4"/>
    <w:rsid w:val="1FD02D9A"/>
    <w:rsid w:val="2004485B"/>
    <w:rsid w:val="20AE1417"/>
    <w:rsid w:val="20C6195E"/>
    <w:rsid w:val="212925B3"/>
    <w:rsid w:val="21577120"/>
    <w:rsid w:val="217001E2"/>
    <w:rsid w:val="218F7423"/>
    <w:rsid w:val="21B52333"/>
    <w:rsid w:val="21C1459A"/>
    <w:rsid w:val="22286807"/>
    <w:rsid w:val="22433200"/>
    <w:rsid w:val="226F2247"/>
    <w:rsid w:val="22833F45"/>
    <w:rsid w:val="228E4DC3"/>
    <w:rsid w:val="22D12F02"/>
    <w:rsid w:val="231F3C6E"/>
    <w:rsid w:val="23451001"/>
    <w:rsid w:val="235B27CC"/>
    <w:rsid w:val="2389558B"/>
    <w:rsid w:val="2391778A"/>
    <w:rsid w:val="239D7D85"/>
    <w:rsid w:val="239E4F57"/>
    <w:rsid w:val="23E17175"/>
    <w:rsid w:val="24003A9F"/>
    <w:rsid w:val="240864B0"/>
    <w:rsid w:val="24604A15"/>
    <w:rsid w:val="24853FA4"/>
    <w:rsid w:val="24C40959"/>
    <w:rsid w:val="251D5F8B"/>
    <w:rsid w:val="256B0F3C"/>
    <w:rsid w:val="25970F68"/>
    <w:rsid w:val="26581242"/>
    <w:rsid w:val="268D42B5"/>
    <w:rsid w:val="26DC3C24"/>
    <w:rsid w:val="26FE3B9A"/>
    <w:rsid w:val="270F7B55"/>
    <w:rsid w:val="271D6716"/>
    <w:rsid w:val="274F2647"/>
    <w:rsid w:val="27C14C09"/>
    <w:rsid w:val="27C97A47"/>
    <w:rsid w:val="2829733C"/>
    <w:rsid w:val="284B72B3"/>
    <w:rsid w:val="285C00A7"/>
    <w:rsid w:val="28862099"/>
    <w:rsid w:val="28BE4A1C"/>
    <w:rsid w:val="2920429C"/>
    <w:rsid w:val="2940049A"/>
    <w:rsid w:val="29915199"/>
    <w:rsid w:val="299627B0"/>
    <w:rsid w:val="2A1A518F"/>
    <w:rsid w:val="2A5C58A0"/>
    <w:rsid w:val="2A75534F"/>
    <w:rsid w:val="2AE412F9"/>
    <w:rsid w:val="2B07458A"/>
    <w:rsid w:val="2B3D6AFE"/>
    <w:rsid w:val="2B411E74"/>
    <w:rsid w:val="2BD6339B"/>
    <w:rsid w:val="2BFD236B"/>
    <w:rsid w:val="2C2E3173"/>
    <w:rsid w:val="2C6210BA"/>
    <w:rsid w:val="2C7E5774"/>
    <w:rsid w:val="2C7F265E"/>
    <w:rsid w:val="2CA84CD4"/>
    <w:rsid w:val="2CAC2729"/>
    <w:rsid w:val="2CB74F17"/>
    <w:rsid w:val="2CDC672B"/>
    <w:rsid w:val="2CE43A1E"/>
    <w:rsid w:val="2D1D72FA"/>
    <w:rsid w:val="2D3D6CDA"/>
    <w:rsid w:val="2D483D90"/>
    <w:rsid w:val="2D915768"/>
    <w:rsid w:val="2D99461C"/>
    <w:rsid w:val="2DDB4C35"/>
    <w:rsid w:val="2F466846"/>
    <w:rsid w:val="2F6E5AEB"/>
    <w:rsid w:val="2F7D5C4A"/>
    <w:rsid w:val="2F884949"/>
    <w:rsid w:val="2FA06136"/>
    <w:rsid w:val="2FD63531"/>
    <w:rsid w:val="2FE34275"/>
    <w:rsid w:val="2FFB511A"/>
    <w:rsid w:val="307F3F9D"/>
    <w:rsid w:val="30B05F05"/>
    <w:rsid w:val="30E6401D"/>
    <w:rsid w:val="30F524B2"/>
    <w:rsid w:val="30F878AC"/>
    <w:rsid w:val="310821E5"/>
    <w:rsid w:val="313E1763"/>
    <w:rsid w:val="314207DF"/>
    <w:rsid w:val="31D02A3D"/>
    <w:rsid w:val="31DD3BB0"/>
    <w:rsid w:val="31F671D4"/>
    <w:rsid w:val="32332507"/>
    <w:rsid w:val="323B162B"/>
    <w:rsid w:val="324B1648"/>
    <w:rsid w:val="32904240"/>
    <w:rsid w:val="32C65EB4"/>
    <w:rsid w:val="33126F15"/>
    <w:rsid w:val="331E4CE7"/>
    <w:rsid w:val="333A0650"/>
    <w:rsid w:val="33412DB3"/>
    <w:rsid w:val="338B2C59"/>
    <w:rsid w:val="33E33C46"/>
    <w:rsid w:val="342C25C9"/>
    <w:rsid w:val="34452E08"/>
    <w:rsid w:val="34AC732B"/>
    <w:rsid w:val="34B078D1"/>
    <w:rsid w:val="34C957E7"/>
    <w:rsid w:val="34D36666"/>
    <w:rsid w:val="356C426F"/>
    <w:rsid w:val="359A661B"/>
    <w:rsid w:val="35AC64A1"/>
    <w:rsid w:val="36107446"/>
    <w:rsid w:val="3653711E"/>
    <w:rsid w:val="367C522D"/>
    <w:rsid w:val="371D511B"/>
    <w:rsid w:val="37760CA0"/>
    <w:rsid w:val="377D6D5D"/>
    <w:rsid w:val="37D7646D"/>
    <w:rsid w:val="37E8067A"/>
    <w:rsid w:val="382F44FB"/>
    <w:rsid w:val="385E7D43"/>
    <w:rsid w:val="3893516D"/>
    <w:rsid w:val="389A0168"/>
    <w:rsid w:val="38B10740"/>
    <w:rsid w:val="38D64977"/>
    <w:rsid w:val="391B682D"/>
    <w:rsid w:val="39934616"/>
    <w:rsid w:val="39A0262B"/>
    <w:rsid w:val="39F852B7"/>
    <w:rsid w:val="3A326983"/>
    <w:rsid w:val="3AD259C0"/>
    <w:rsid w:val="3AF235BE"/>
    <w:rsid w:val="3B295232"/>
    <w:rsid w:val="3B7010B2"/>
    <w:rsid w:val="3B9823B7"/>
    <w:rsid w:val="3BAB20EB"/>
    <w:rsid w:val="3BCC4363"/>
    <w:rsid w:val="3BDA2AB5"/>
    <w:rsid w:val="3C004876"/>
    <w:rsid w:val="3C463BC1"/>
    <w:rsid w:val="3CC03974"/>
    <w:rsid w:val="3DAE1A1E"/>
    <w:rsid w:val="3DCE0312"/>
    <w:rsid w:val="3E021D6A"/>
    <w:rsid w:val="3E2B4483"/>
    <w:rsid w:val="3E3A02BF"/>
    <w:rsid w:val="3E483C21"/>
    <w:rsid w:val="3E8246A6"/>
    <w:rsid w:val="3E90381A"/>
    <w:rsid w:val="3EB87669"/>
    <w:rsid w:val="3F516B05"/>
    <w:rsid w:val="3FDE58A4"/>
    <w:rsid w:val="40642868"/>
    <w:rsid w:val="407529FD"/>
    <w:rsid w:val="40E530F7"/>
    <w:rsid w:val="40ED2243"/>
    <w:rsid w:val="4105229D"/>
    <w:rsid w:val="411E510D"/>
    <w:rsid w:val="41F83BB0"/>
    <w:rsid w:val="42723962"/>
    <w:rsid w:val="43CF6B92"/>
    <w:rsid w:val="43F42155"/>
    <w:rsid w:val="44254A04"/>
    <w:rsid w:val="443E544F"/>
    <w:rsid w:val="444529B0"/>
    <w:rsid w:val="451C1963"/>
    <w:rsid w:val="454669E0"/>
    <w:rsid w:val="45AB5EF3"/>
    <w:rsid w:val="46162642"/>
    <w:rsid w:val="47541888"/>
    <w:rsid w:val="48311BC9"/>
    <w:rsid w:val="483B47F6"/>
    <w:rsid w:val="489F4D85"/>
    <w:rsid w:val="49BF4FB3"/>
    <w:rsid w:val="49F41101"/>
    <w:rsid w:val="4A0155CC"/>
    <w:rsid w:val="4A696E36"/>
    <w:rsid w:val="4AC22569"/>
    <w:rsid w:val="4ADD3943"/>
    <w:rsid w:val="4AFF7D5D"/>
    <w:rsid w:val="4B005883"/>
    <w:rsid w:val="4B036847"/>
    <w:rsid w:val="4B2477C4"/>
    <w:rsid w:val="4B3C2ACB"/>
    <w:rsid w:val="4B5C5910"/>
    <w:rsid w:val="4B941D1B"/>
    <w:rsid w:val="4B991F60"/>
    <w:rsid w:val="4BA3693A"/>
    <w:rsid w:val="4BC2334E"/>
    <w:rsid w:val="4C481290"/>
    <w:rsid w:val="4C786019"/>
    <w:rsid w:val="4CAE1A3B"/>
    <w:rsid w:val="4CC052CA"/>
    <w:rsid w:val="4CD5641A"/>
    <w:rsid w:val="4D001B6A"/>
    <w:rsid w:val="4D0C492A"/>
    <w:rsid w:val="4D4370DE"/>
    <w:rsid w:val="4DA30E74"/>
    <w:rsid w:val="4E1A6C5C"/>
    <w:rsid w:val="4E2B1EB6"/>
    <w:rsid w:val="4E37188D"/>
    <w:rsid w:val="4EC512BE"/>
    <w:rsid w:val="4F043B94"/>
    <w:rsid w:val="4F155DA1"/>
    <w:rsid w:val="4F4B7598"/>
    <w:rsid w:val="4F611354"/>
    <w:rsid w:val="5099655E"/>
    <w:rsid w:val="50A82C45"/>
    <w:rsid w:val="514E7348"/>
    <w:rsid w:val="52151C14"/>
    <w:rsid w:val="52153AED"/>
    <w:rsid w:val="5224454D"/>
    <w:rsid w:val="529E42FF"/>
    <w:rsid w:val="52D472AF"/>
    <w:rsid w:val="534E7AD3"/>
    <w:rsid w:val="536A56F0"/>
    <w:rsid w:val="539B7E16"/>
    <w:rsid w:val="53FB26C8"/>
    <w:rsid w:val="540E7263"/>
    <w:rsid w:val="54C35392"/>
    <w:rsid w:val="54CB0CB0"/>
    <w:rsid w:val="54D32C3F"/>
    <w:rsid w:val="553C395C"/>
    <w:rsid w:val="55582E57"/>
    <w:rsid w:val="56161698"/>
    <w:rsid w:val="566B274A"/>
    <w:rsid w:val="56707D61"/>
    <w:rsid w:val="569055D6"/>
    <w:rsid w:val="569577C7"/>
    <w:rsid w:val="56C9121F"/>
    <w:rsid w:val="57803FD4"/>
    <w:rsid w:val="57A37C22"/>
    <w:rsid w:val="57AC301B"/>
    <w:rsid w:val="57D60097"/>
    <w:rsid w:val="57E94025"/>
    <w:rsid w:val="580A7D41"/>
    <w:rsid w:val="58B73A25"/>
    <w:rsid w:val="58DE5456"/>
    <w:rsid w:val="59527BF2"/>
    <w:rsid w:val="59B61F2F"/>
    <w:rsid w:val="5A141F40"/>
    <w:rsid w:val="5A364E1D"/>
    <w:rsid w:val="5A7D4412"/>
    <w:rsid w:val="5AA220B4"/>
    <w:rsid w:val="5ADF3707"/>
    <w:rsid w:val="5AE305F3"/>
    <w:rsid w:val="5BC37254"/>
    <w:rsid w:val="5C0F456C"/>
    <w:rsid w:val="5C3B2BBF"/>
    <w:rsid w:val="5CC47458"/>
    <w:rsid w:val="5D2378DB"/>
    <w:rsid w:val="5D252F68"/>
    <w:rsid w:val="5D4041AE"/>
    <w:rsid w:val="5DC0337C"/>
    <w:rsid w:val="5DDC7A8A"/>
    <w:rsid w:val="5DF50B4C"/>
    <w:rsid w:val="5E761C8C"/>
    <w:rsid w:val="5EAE1426"/>
    <w:rsid w:val="5ED03A93"/>
    <w:rsid w:val="5EED5865"/>
    <w:rsid w:val="5F5737A7"/>
    <w:rsid w:val="5F69359F"/>
    <w:rsid w:val="5F8A1E93"/>
    <w:rsid w:val="60457B68"/>
    <w:rsid w:val="60911000"/>
    <w:rsid w:val="60C34F31"/>
    <w:rsid w:val="61021EFD"/>
    <w:rsid w:val="61187487"/>
    <w:rsid w:val="611A7247"/>
    <w:rsid w:val="619C7510"/>
    <w:rsid w:val="61BE4076"/>
    <w:rsid w:val="61CE31A0"/>
    <w:rsid w:val="61FA0AEC"/>
    <w:rsid w:val="622F0AD0"/>
    <w:rsid w:val="62835B3A"/>
    <w:rsid w:val="628C7CD0"/>
    <w:rsid w:val="62957AAD"/>
    <w:rsid w:val="62F67840"/>
    <w:rsid w:val="6327307F"/>
    <w:rsid w:val="63841BD1"/>
    <w:rsid w:val="640E515F"/>
    <w:rsid w:val="642937ED"/>
    <w:rsid w:val="64410F8F"/>
    <w:rsid w:val="645111D2"/>
    <w:rsid w:val="6461518D"/>
    <w:rsid w:val="646548E4"/>
    <w:rsid w:val="64781A61"/>
    <w:rsid w:val="64B368F6"/>
    <w:rsid w:val="64B67287"/>
    <w:rsid w:val="64C23E7D"/>
    <w:rsid w:val="64C67DDE"/>
    <w:rsid w:val="64FB189E"/>
    <w:rsid w:val="65110961"/>
    <w:rsid w:val="65386C6F"/>
    <w:rsid w:val="65401246"/>
    <w:rsid w:val="656A4773"/>
    <w:rsid w:val="656C5B97"/>
    <w:rsid w:val="657038D9"/>
    <w:rsid w:val="65B65064"/>
    <w:rsid w:val="65BA4B55"/>
    <w:rsid w:val="65C66F3D"/>
    <w:rsid w:val="667C4500"/>
    <w:rsid w:val="66D41C46"/>
    <w:rsid w:val="67E03C23"/>
    <w:rsid w:val="68291C7C"/>
    <w:rsid w:val="68866F70"/>
    <w:rsid w:val="68F123F5"/>
    <w:rsid w:val="69201173"/>
    <w:rsid w:val="694D3A6A"/>
    <w:rsid w:val="69562DE6"/>
    <w:rsid w:val="697F37B9"/>
    <w:rsid w:val="69C45FA2"/>
    <w:rsid w:val="69D65CD5"/>
    <w:rsid w:val="69EA352F"/>
    <w:rsid w:val="69FC67CE"/>
    <w:rsid w:val="6A050368"/>
    <w:rsid w:val="6A681023"/>
    <w:rsid w:val="6AD761A9"/>
    <w:rsid w:val="6B014FD4"/>
    <w:rsid w:val="6C621AA2"/>
    <w:rsid w:val="6C9A56E0"/>
    <w:rsid w:val="6D340359"/>
    <w:rsid w:val="6E0E1B48"/>
    <w:rsid w:val="6E162B44"/>
    <w:rsid w:val="6E71146F"/>
    <w:rsid w:val="6EB34837"/>
    <w:rsid w:val="6F5B73A8"/>
    <w:rsid w:val="6F67449E"/>
    <w:rsid w:val="6F685621"/>
    <w:rsid w:val="6FA10B33"/>
    <w:rsid w:val="6FA123D2"/>
    <w:rsid w:val="6FF45107"/>
    <w:rsid w:val="6FF84BF7"/>
    <w:rsid w:val="700017F5"/>
    <w:rsid w:val="700439CC"/>
    <w:rsid w:val="701557A9"/>
    <w:rsid w:val="702479A9"/>
    <w:rsid w:val="7054439A"/>
    <w:rsid w:val="706A7177"/>
    <w:rsid w:val="70853FB1"/>
    <w:rsid w:val="70992C45"/>
    <w:rsid w:val="70A47AAD"/>
    <w:rsid w:val="711808F3"/>
    <w:rsid w:val="714D4ACF"/>
    <w:rsid w:val="71AD37BF"/>
    <w:rsid w:val="71D46F9E"/>
    <w:rsid w:val="721505C6"/>
    <w:rsid w:val="721F0505"/>
    <w:rsid w:val="722E75E7"/>
    <w:rsid w:val="72CB03A1"/>
    <w:rsid w:val="73040804"/>
    <w:rsid w:val="730F643C"/>
    <w:rsid w:val="73440153"/>
    <w:rsid w:val="73DA58ED"/>
    <w:rsid w:val="74060D79"/>
    <w:rsid w:val="741C119C"/>
    <w:rsid w:val="74257F85"/>
    <w:rsid w:val="74277859"/>
    <w:rsid w:val="74714F78"/>
    <w:rsid w:val="747E1443"/>
    <w:rsid w:val="74A643ED"/>
    <w:rsid w:val="74AE7F7A"/>
    <w:rsid w:val="7544443B"/>
    <w:rsid w:val="757765BE"/>
    <w:rsid w:val="75AD3944"/>
    <w:rsid w:val="75CB6EB8"/>
    <w:rsid w:val="75DA5BF0"/>
    <w:rsid w:val="75F406CA"/>
    <w:rsid w:val="76032465"/>
    <w:rsid w:val="76116A13"/>
    <w:rsid w:val="76BE1BF6"/>
    <w:rsid w:val="76DB492B"/>
    <w:rsid w:val="76EE54ED"/>
    <w:rsid w:val="770F2826"/>
    <w:rsid w:val="7784671E"/>
    <w:rsid w:val="78334764"/>
    <w:rsid w:val="78396F5D"/>
    <w:rsid w:val="78446BBD"/>
    <w:rsid w:val="786F5C73"/>
    <w:rsid w:val="79117BF1"/>
    <w:rsid w:val="79415FFC"/>
    <w:rsid w:val="79856DD0"/>
    <w:rsid w:val="79C21DD2"/>
    <w:rsid w:val="79ED6E4F"/>
    <w:rsid w:val="7B615D46"/>
    <w:rsid w:val="7B666EB5"/>
    <w:rsid w:val="7B7D0796"/>
    <w:rsid w:val="7B851309"/>
    <w:rsid w:val="7B9003DA"/>
    <w:rsid w:val="7BCB31C0"/>
    <w:rsid w:val="7C134B67"/>
    <w:rsid w:val="7C5224F2"/>
    <w:rsid w:val="7C5B665A"/>
    <w:rsid w:val="7C6576E5"/>
    <w:rsid w:val="7C686C61"/>
    <w:rsid w:val="7C885397"/>
    <w:rsid w:val="7CEA1D6C"/>
    <w:rsid w:val="7D407BDD"/>
    <w:rsid w:val="7D9B4E14"/>
    <w:rsid w:val="7E580694"/>
    <w:rsid w:val="7EC860DC"/>
    <w:rsid w:val="7F343772"/>
    <w:rsid w:val="7F686F78"/>
    <w:rsid w:val="7F81059C"/>
    <w:rsid w:val="7FA2692E"/>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14008C9"/>
  <w15:docId w15:val="{E655A4A2-C941-4214-ABB7-B3F38173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footnote text" w:qFormat="1"/>
    <w:lsdException w:name="annotation text" w:qFormat="1"/>
    <w:lsdException w:name="header" w:qFormat="1"/>
    <w:lsdException w:name="caption" w:semiHidden="1" w:unhideWhenUsed="1" w:qFormat="1"/>
    <w:lsdException w:name="footnote reference" w:qFormat="1"/>
    <w:lsdException w:name="endnote text"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TOC3">
    <w:name w:val="toc 3"/>
    <w:basedOn w:val="a"/>
    <w:next w:val="a"/>
    <w:uiPriority w:val="39"/>
    <w:pPr>
      <w:ind w:leftChars="400" w:left="840"/>
    </w:pPr>
  </w:style>
  <w:style w:type="paragraph" w:styleId="a5">
    <w:name w:val="endnote text"/>
    <w:basedOn w:val="a"/>
    <w:link w:val="a6"/>
    <w:qFormat/>
    <w:pPr>
      <w:snapToGrid w:val="0"/>
      <w:jc w:val="left"/>
    </w:pPr>
  </w:style>
  <w:style w:type="paragraph" w:styleId="a7">
    <w:name w:val="Balloon Text"/>
    <w:basedOn w:val="a"/>
    <w:link w:val="a8"/>
    <w:rPr>
      <w:sz w:val="18"/>
      <w:szCs w:val="18"/>
    </w:rPr>
  </w:style>
  <w:style w:type="paragraph" w:styleId="a9">
    <w:name w:val="footer"/>
    <w:basedOn w:val="a"/>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style>
  <w:style w:type="paragraph" w:styleId="ab">
    <w:name w:val="footnote text"/>
    <w:basedOn w:val="a"/>
    <w:link w:val="ac"/>
    <w:qFormat/>
    <w:pPr>
      <w:snapToGrid w:val="0"/>
      <w:jc w:val="left"/>
    </w:pPr>
    <w:rPr>
      <w:sz w:val="18"/>
    </w:rPr>
  </w:style>
  <w:style w:type="paragraph" w:styleId="TOC2">
    <w:name w:val="toc 2"/>
    <w:basedOn w:val="a"/>
    <w:next w:val="a"/>
    <w:uiPriority w:val="39"/>
    <w:qFormat/>
    <w:pPr>
      <w:ind w:leftChars="200" w:left="420"/>
    </w:pPr>
  </w:style>
  <w:style w:type="paragraph" w:styleId="ad">
    <w:name w:val="annotation subject"/>
    <w:basedOn w:val="a3"/>
    <w:next w:val="a3"/>
    <w:link w:val="ae"/>
    <w:qFormat/>
    <w:rPr>
      <w:b/>
      <w:bCs/>
    </w:rPr>
  </w:style>
  <w:style w:type="character" w:styleId="af">
    <w:name w:val="endnote reference"/>
    <w:basedOn w:val="a0"/>
    <w:rPr>
      <w:vertAlign w:val="superscript"/>
    </w:r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basedOn w:val="a0"/>
    <w:rPr>
      <w:sz w:val="21"/>
      <w:szCs w:val="21"/>
    </w:rPr>
  </w:style>
  <w:style w:type="character" w:styleId="af3">
    <w:name w:val="footnote reference"/>
    <w:basedOn w:val="a0"/>
    <w:qFormat/>
    <w:rPr>
      <w:vertAlign w:val="superscript"/>
    </w:rPr>
  </w:style>
  <w:style w:type="character" w:customStyle="1" w:styleId="ac">
    <w:name w:val="脚注文本 字符"/>
    <w:link w:val="ab"/>
    <w:qFormat/>
    <w:rPr>
      <w:rFonts w:asciiTheme="minorHAnsi" w:eastAsiaTheme="minorEastAsia" w:hAnsiTheme="minorHAnsi" w:cstheme="minorBidi"/>
      <w:kern w:val="2"/>
      <w:sz w:val="18"/>
      <w:szCs w:val="24"/>
      <w:lang w:val="en-US" w:eastAsia="zh-CN" w:bidi="ar-SA"/>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a4">
    <w:name w:val="批注文字 字符"/>
    <w:basedOn w:val="a0"/>
    <w:link w:val="a3"/>
    <w:rPr>
      <w:rFonts w:asciiTheme="minorHAnsi" w:eastAsiaTheme="minorEastAsia" w:hAnsiTheme="minorHAnsi" w:cstheme="minorBidi"/>
      <w:kern w:val="2"/>
      <w:sz w:val="21"/>
      <w:szCs w:val="24"/>
    </w:rPr>
  </w:style>
  <w:style w:type="character" w:customStyle="1" w:styleId="ae">
    <w:name w:val="批注主题 字符"/>
    <w:basedOn w:val="a4"/>
    <w:link w:val="ad"/>
    <w:qFormat/>
    <w:rPr>
      <w:rFonts w:asciiTheme="minorHAnsi" w:eastAsiaTheme="minorEastAsia" w:hAnsiTheme="minorHAnsi" w:cstheme="minorBidi"/>
      <w:b/>
      <w:bCs/>
      <w:kern w:val="2"/>
      <w:sz w:val="21"/>
      <w:szCs w:val="24"/>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6">
    <w:name w:val="尾注文本 字符"/>
    <w:basedOn w:val="a0"/>
    <w:link w:val="a5"/>
    <w:rPr>
      <w:rFonts w:asciiTheme="minorHAnsi" w:eastAsiaTheme="minorEastAsia" w:hAnsiTheme="minorHAnsi" w:cstheme="minorBidi"/>
      <w:kern w:val="2"/>
      <w:sz w:val="21"/>
      <w:szCs w:val="24"/>
    </w:rPr>
  </w:style>
  <w:style w:type="paragraph" w:styleId="af4">
    <w:name w:val="Revision"/>
    <w:hidden/>
    <w:uiPriority w:val="99"/>
    <w:unhideWhenUsed/>
    <w:rsid w:val="000B5D2F"/>
    <w:rPr>
      <w:rFonts w:asciiTheme="minorHAnsi" w:eastAsiaTheme="minorEastAsia" w:hAnsiTheme="minorHAnsi" w:cstheme="minorBidi"/>
      <w:kern w:val="2"/>
      <w:sz w:val="21"/>
      <w:szCs w:val="24"/>
    </w:rPr>
  </w:style>
  <w:style w:type="paragraph" w:styleId="af5">
    <w:name w:val="List Paragraph"/>
    <w:basedOn w:val="a"/>
    <w:uiPriority w:val="99"/>
    <w:unhideWhenUsed/>
    <w:rsid w:val="005B079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pcaobus.org/news-events/news-releases/news-release-detail/pcaob-publishes-new-supplement-to-staff-guidance-concerning-the-remediation-process?" TargetMode="External"/><Relationship Id="rId2" Type="http://schemas.openxmlformats.org/officeDocument/2006/relationships/hyperlink" Target="https://www.stcn.com/article/detail/1305018.html" TargetMode="External"/><Relationship Id="rId1" Type="http://schemas.openxmlformats.org/officeDocument/2006/relationships/hyperlink" Target="https://kjs.mof.gov.cn/zhengcefabu/202305/P020230504599843451810.pdf" TargetMode="External"/><Relationship Id="rId4" Type="http://schemas.openxmlformats.org/officeDocument/2006/relationships/hyperlink" Target="https://pcaobus.org/documents/remediation-spotlight.pdf"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421480-39B4-4E8C-BE00-DDBB0B2A7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46</Pages>
  <Words>23955</Words>
  <Characters>3369</Characters>
  <Application>Microsoft Office Word</Application>
  <DocSecurity>0</DocSecurity>
  <Lines>28</Lines>
  <Paragraphs>54</Paragraphs>
  <ScaleCrop>false</ScaleCrop>
  <Company>Lenovo</Company>
  <LinksUpToDate>false</LinksUpToDate>
  <CharactersWithSpaces>27270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陈敏光</dc:creator>
  <cp:lastModifiedBy>Leo Jia</cp:lastModifiedBy>
  <cp:revision>46</cp:revision>
  <cp:lastPrinted>2025-12-03T08:33:00Z</cp:lastPrinted>
  <dcterms:created xsi:type="dcterms:W3CDTF">2025-11-27T22:45:00Z</dcterms:created>
  <dcterms:modified xsi:type="dcterms:W3CDTF">2025-12-03T08:34:00Z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eyJoZGlkIjoiMDc5NzhjOWI1ZmUwMjk1N2JhZGI4NjNmNmE5MTJhMzUiLCJ1c2VySWQiOiIxNTc1NDExMDA1In0=</vt:lpwstr>
  </property>
  <property fmtid="{D5CDD505-2E9C-101B-9397-08002B2CF9AE}" pid="4" name="ICV">
    <vt:lpwstr>C58C3D9E42EB42D5BB00B251F21EFA48_13</vt:lpwstr>
  </property>
</Properties>
</file>